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Giai đoạn</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Chi tiết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Thời gian bình quân (ngày)</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Dự kiến nhập hàng số lượng lớn để giảm giá đầu vào và đa dạng hóa chủng loại để đáp ứng được nhu cầu củ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xml:space="preserve">Tiêu thu (phải thu khách hàng)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Số ngày bình quân: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304</w:t>
            </w:r>
          </w:p>
        </w:tc>
        <w:tc>
          <w:tcPr>
            <w:tcBorders>
              <w:top w:val="single" w:sz="4" w:color="000000"/>
              <w:left w:val="single" w:sz="4" w:color="000000"/>
              <w:bottom w:val="single" w:sz="4" w:color="000000"/>
              <w:right w:val="single" w:sz="4" w:color="000000"/>
            </w:tcBorders>
          </w:tcPr>
        </w:tc>
      </w:tr>
      <w:tr>
        <w:tc>
          <w:tcPr>
            <w:gridSpan w:val="3"/>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Vòng quay vốn lưu động</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1.2</w:t>
            </w:r>
          </w:p>
        </w:tc>
        <w:tc>
          <w:tcPr>
            <w:tcBorders>
              <w:top w:val="single" w:sz="4" w:color="000000"/>
              <w:left w:val="single" w:sz="4" w:color="000000"/>
              <w:bottom w:val="single" w:sz="4" w:color="000000"/>
              <w:right w:val="single" w:sz="4" w:color="000000"/>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