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Giai đoạn</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Chi tiết</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Thời gian bình quân (ngày)</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Ghi chú</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Mua đầu vào (phải trả cho người bán hàng)</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 xml:space="preserve">Thanh toán tiền 
(trả cho người bán)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Tồn kho</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Thời gian lưu kho</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 Dự kiến nhập hàng số lượng lớn để giảm giá đầu vào và đa dạng hóa chủng loại để đáp ứng được nhu cầu củ khách hàng mua nên dự kiến hàng tồn kho tăng.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 xml:space="preserve">Tiêu thu (phải thu khách hàng)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Chính sách trả chậm</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Số ngày bình quân: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304</w:t>
            </w:r>
          </w:p>
        </w:tc>
        <w:tc>
          <w:tcPr>
            <w:tcBorders>
              <w:top w:val="single" w:sz="4" w:color="000000"/>
              <w:left w:val="single" w:sz="4" w:color="000000"/>
              <w:bottom w:val="single" w:sz="4" w:color="000000"/>
              <w:right w:val="single" w:sz="4" w:color="000000"/>
            </w:tcBorders>
          </w:tcPr>
        </w:tc>
      </w:tr>
      <w:tr>
        <w:tc>
          <w:tcPr>
            <w:gridSpan w:val="3"/>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Vòng quay vốn lưu động</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1.2</w:t>
            </w:r>
          </w:p>
        </w:tc>
        <w:tc>
          <w:tcPr>
            <w:tcBorders>
              <w:top w:val="single" w:sz="4" w:color="000000"/>
              <w:left w:val="single" w:sz="4" w:color="000000"/>
              <w:bottom w:val="single" w:sz="4" w:color="000000"/>
              <w:right w:val="single" w:sz="4" w:color="000000"/>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