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STT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Giai đoạn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Chi tiết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Thời gian bình quân (ngày)</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Ghi chú</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Mua đầu vào (phải trả cho người bán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 xml:space="preserve">Thanh toán tiền 
(trả cho người bán)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Tồn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Thời gian lưu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255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 xml:space="preserve">Tiêu thu (phải thu khách hàng)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Chính sách trả chậm</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48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Số ngày bình quân: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Vòng quay vốn lưu động</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