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STT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Giai đoạn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Chi tiết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Thời gian bình quân (ngày)</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Ghi chú</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Mua đầu vào (phải trả cho người bán hàng)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Thanh toán tiền 
(trả cho người bán)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Tồn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Thời gian lưu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255</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3</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Tiêu thu (phải thu khách hàng)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Chính sách trả chậm</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48</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Số ngày bình quân: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304</w:t>
            </w:r>
          </w:p>
        </w:tc>
        <w:tc>
          <w:tcPr>
            <w:tcBorders>
              <w:top w:val="single" w:color="000000" w:sz="4"/>
              <w:left w:val="single" w:color="000000" w:sz="4"/>
              <w:bottom w:val="single" w:color="000000" w:sz="4"/>
              <w:right w:val="single" w:color="000000" w:sz="4"/>
            </w:tcBorders>
          </w:tcPr>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Vòng quay vốn lưu động</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1.2</w:t>
            </w:r>
          </w:p>
        </w:tc>
        <w:tc>
          <w:tcPr>
            <w:tcBorders>
              <w:top w:val="single" w:color="000000" w:sz="4"/>
              <w:left w:val="single" w:color="000000" w:sz="4"/>
              <w:bottom w:val="single" w:color="000000" w:sz="4"/>
              <w:right w:val="single" w:color="000000" w:sz="4"/>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