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STT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Giai đoạn</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Chi tiết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Thời gian bình quân (ngày)</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Ghi chú</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Mua đầu vào (phải trả cho người bán hàng)</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Thanh toán tiền 
(trả cho người bán)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Áp dụng hình thức trả ngay khi mua hàng để hưởng giá đầu vào thấp, nên thời gian thanh toán cho người bán bình quân là 1 ngày.</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Tồn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Thời gian lưu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255</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Dự kiến nhập hàng số lượng lớn để giảm giá đầu vào và đa dạng hóa chủng loại để đáp ứng được nhu cầu củ khách hàng mua nên dự kiến hàng tồn kho tăng.</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3</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Tiêu thu (phải thu khách hàng)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Chính sách trả chậm</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48</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Số ngày bình quân: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Vòng quay vốn lưu động</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STT</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Danh mục</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vị</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Số lượng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giá (đồng)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Thành tiền (đồng)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I</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Chi phí trực tiếp</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1000000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Giống gà</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Thức ăn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