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STT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Giai đoạn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Chi tiết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Thời gian bình quân (ngày)</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Ghi chú</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Mua đầu vào (phải trả cho người bán hàng)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Thanh toán tiền 
(trả cho người bán)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Tồn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Thời gian lưu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255</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3</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Tiêu thu (phải thu khách hàng)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Chính sách trả chậm</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48</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Số ngày bình quân:</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304</w:t>
            </w:r>
          </w:p>
        </w:tc>
        <w:tc>
          <w:tcPr>
            <w:tcBorders>
              <w:top w:val="single" w:color="000000" w:sz="4"/>
              <w:left w:val="single" w:color="000000" w:sz="4"/>
              <w:bottom w:val="single" w:color="000000" w:sz="4"/>
              <w:right w:val="single" w:color="000000" w:sz="4"/>
            </w:tcBorders>
          </w:tcPr>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Vòng quay vốn lưu động</w:t>
            </w: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1.2</w:t>
            </w:r>
          </w:p>
        </w:tc>
        <w:tc>
          <w:tcPr>
            <w:tcBorders>
              <w:top w:val="single" w:color="000000" w:sz="4"/>
              <w:left w:val="single" w:color="000000" w:sz="4"/>
              <w:bottom w:val="single" w:color="000000" w:sz="4"/>
              <w:right w:val="single" w:color="000000" w:sz="4"/>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