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STT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Giai đoạn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Chi tiết</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Thời gian bình quân (ngày)</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Ghi chú</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Mua đầu vào (phải trả cho người bán hàng)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Thanh toán tiền 
(trả cho người bán)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1</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Áp dụng hình thức trả ngay khi mua hàng để hưởng giá đầu vào thấp, nên thời gian thanh toán cho người bán bình quân là 1 ngày.</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Tồn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Thời gian lưu kho</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255</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Dự kiến nhập hàng số lượng lớn để giảm giá đầu vào và đa dạng hóa chủng loại để đáp ứng được nhu cầu củ khách hàng mua nên dự kiến hàng tồn kho tăng.</w:t>
            </w:r>
          </w:p>
        </w:tc>
      </w:tr>
      <w:tr>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3</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xml:space="preserve">Tiêu thu (phải thu khách hàng) </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Chính sách trả chậm</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48</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Số ngày bình quân:</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304</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r>
        <w:tc>
          <w:tcPr>
            <w:gridSpan w:val="3"/>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Vòng quay vốn lưu động</w:t>
            </w:r>
          </w:p>
        </w:tc>
        <w:tc>
          <w:tcPr>
            <w:tcBorders>
              <w:top w:val="single" w:color="000000" w:sz="4"/>
              <w:left w:val="single" w:color="000000" w:sz="4"/>
              <w:bottom w:val="single" w:color="000000" w:sz="4"/>
              <w:right w:val="single" w:color="000000" w:sz="4"/>
            </w:tcBorders>
          </w:tcPr>
          <w:p>
            <w:pPr>
              <w:jc w:val="left"/>
            </w:pPr>
            <w:r>
              <w:rPr>
                <w:rFonts w:ascii="Times New Roman" w:hAnsi="Times New Roman" w:cs="Times New Roman" w:eastAsia="Times New Roman"/>
                <w:sz w:val="26"/>
                <w:b w:val="on"/>
              </w:rPr>
              <w:t>1.2</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tc>
        <w:tc>
          <w:tcPr>
            <w:tcBorders>
              <w:top w:val="single" w:color="000000" w:sz="4"/>
              <w:left w:val="single" w:color="000000" w:sz="4"/>
              <w:bottom w:val="single" w:color="000000" w:sz="4"/>
              <w:right w:val="single" w:color="000000" w:sz="4"/>
            </w:tcBorders>
          </w:tcP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STT</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Danh mục</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vị</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Số lượng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Đơn giá (đồng)</w:t>
            </w:r>
          </w:p>
        </w:tc>
        <w:tc>
          <w:tcPr>
            <w:tcBorders>
              <w:top w:val="single" w:color="000000" w:sz="4"/>
              <w:left w:val="single" w:color="000000" w:sz="4"/>
              <w:bottom w:val="single" w:color="000000" w:sz="4"/>
              <w:right w:val="single" w:color="000000" w:sz="4"/>
            </w:tcBorders>
          </w:tcPr>
          <w:p>
            <w:r>
              <w:rPr>
                <w:b w:val="on"/>
                <w:rFonts w:ascii="Times New Roman" w:hAnsi="Times New Roman" w:cs="Times New Roman" w:eastAsia="Times New Roman"/>
                <w:sz w:val="26"/>
              </w:rPr>
              <w:t>Thành tiền (đồng)</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I</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Chi phí trực tiếp</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1000000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1</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Giống gà</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r>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2</w:t>
            </w:r>
          </w:p>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Thức ăn</w:t>
            </w:r>
          </w:p>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tc>
        <w:tc>
          <w:tcPr>
            <w:tcBorders>
              <w:top w:val="single" w:color="000000" w:sz="4"/>
              <w:left w:val="single" w:color="000000" w:sz="4"/>
              <w:bottom w:val="single" w:color="000000" w:sz="4"/>
              <w:right w:val="single" w:color="000000" w:sz="4"/>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