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STT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Giai đoạn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Chi tiết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Thời gian bình quân (ngày)</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Ghi chú</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Mua đầu vào (phải trả cho người bán hàng)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Thanh toán tiền 
(trả cho người bán)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p/>
        </w:tc>
        <w:tc>
          <w:p/>
        </w:tc>
        <w:tc>
          <w:p/>
        </w:tc>
        <w:tc>
          <w:p/>
        </w:tc>
        <w:tc>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Tồn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Thời gian lưu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255</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p/>
        </w:tc>
        <w:tc>
          <w:p/>
        </w:tc>
        <w:tc>
          <w:p/>
        </w:tc>
        <w:tc>
          <w:p/>
        </w:tc>
        <w:tc>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3</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Tiêu thu (phải thu khách hàng)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Chính sách trả chậm</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48</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p/>
        </w:tc>
        <w:tc>
          <w:p/>
        </w:tc>
        <w:tc>
          <w:p/>
        </w:tc>
        <w:tc>
          <w:p/>
        </w:tc>
        <w:tc>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Số ngày bình quân: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304</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Vòng quay vốn lưu động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1.2</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