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 Chi phí trực tiếp</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 | Hộp vuông 4x8 | thanh | 2.000</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