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cho vay hạn mức được ký kêt giữa bên A và bên B theo liệt kê chi tiết tại Phụ lục Hợp đồng này, đồng thời thống nhất việc xử lý số dư nợ vay được liệt kê theo nguyên tắc tham chiếu chi tiết kèm theo.</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