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Chu Văn An,</w:t>
      </w:r>
      <w:r w:rsidRPr="0022117A">
        <w:rPr>
          <w:rFonts w:ascii="Times New Roman" w:hAnsi="Times New Roman"/>
          <w:b/>
          <w:sz w:val="24"/>
        </w:rPr>
        <w:t xml:space="preserve"> </w:t>
      </w:r>
      <w:r w:rsidRPr="0022117A">
        <w:rPr>
          <w:rFonts w:ascii="Times New Roman" w:hAnsi="Times New Roman"/>
          <w:sz w:val="24"/>
        </w:rPr>
        <w:t>Ngày 28 tháng 05 năm 2025</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VŨ THỊ LINH</w:t>
      </w:r>
      <w:r w:rsidR="0082245E">
        <w:rPr>
          <w:rFonts w:ascii="Times New Roman" w:hAnsi="Times New Roman"/>
          <w:b/>
          <w:sz w:val="24"/>
        </w:rPr>
        <w:t xml:space="preserve">  và NGÔ VĂN TẠC</w:t>
      </w:r>
      <w:bookmarkStart w:id="0" w:name="_GoBack"/>
      <w:bookmarkEnd w:id="0"/>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17  Tờ bản đồ: 08</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337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Ba trăm ba mươi bảy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I 875799</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huyện Chí Linh, tỉnh Hải Dương cấp ngày 14/07/1999 vào sổ cấp số: Vào sổ cấp Giấy chứng nhận Quyền sử dụng đất số: 1453 QSDĐ/TH-CL</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Ngô Văn Tạc.</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Thái Học, Chí Linh, Hải Dương (nay là phường Chu Văn An, thành phố Hải Phòng).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I 875799 vào sổ cấp giấy chứng nhận số Vào sổ cấp Giấy chứng nhận Quyền sử dụng đất số: 1453 QSDĐ/TH-CL do UBND huyện Chí Linh, tỉnh Hải Dương. Cấp ngày: 14/07/1999</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0 m</w:t>
      </w:r>
      <w:r w:rsidRPr="0022117A">
        <w:rPr>
          <w:rFonts w:ascii="Times New Roman" w:hAnsi="Times New Roman"/>
          <w:sz w:val="24"/>
          <w:vertAlign w:val="superscript"/>
        </w:rPr>
        <w:t>2</w:t>
      </w:r>
      <w:r w:rsidRPr="0022117A">
        <w:rPr>
          <w:rFonts w:ascii="Times New Roman" w:hAnsi="Times New Roman"/>
          <w:sz w:val="24"/>
        </w:rPr>
        <w:t>;   Loại nhà: 0;  Kết cấu: 0;</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4221"/>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F28B-4B8B-49DE-BDC5-70B137AD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2026-08-02T14:39:00Z</dcterms:modified>
  <cp:revision>14</cp:revision>
</cp:coreProperties>
</file>