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tc>
        <w:tc>
          <w:p/>
        </w:tc>
        <w:tc>
          <w:p/>
        </w:tc>
      </w:tr>
      <w:tr>
        <w:tc>
          <w:p>
            <w:pPr>
              <w:jc w:val="center"/>
            </w:pPr>
            <w:r>
              <w:rPr>
                <w:rFonts w:ascii="Times New Roman" w:hAnsi="Times New Roman" w:cs="Times New Roman" w:eastAsia="Times New Roman"/>
                <w:sz w:val="26"/>
              </w:rPr>
              <w:t>II</w:t>
            </w:r>
          </w:p>
        </w:tc>
        <w:tc>
          <w:p>
            <w:pPr>
              <w:jc w:val="center"/>
            </w:pPr>
            <w:r>
              <w:rPr>
                <w:rFonts w:ascii="Times New Roman" w:hAnsi="Times New Roman" w:cs="Times New Roman" w:eastAsia="Times New Roman"/>
                <w:sz w:val="26"/>
              </w:rPr>
              <w:t>Chi phí quản lý</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