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Chi phí gián tiếp |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9 | Tổng chi phí của phương án |  |  | </w:t>
            </w:r>
          </w:p>
        </w:tc>
        <w:tc>
          <w:p>
            <w:pPr>
              <w:jc w:val="center"/>
            </w:pPr>
            <w:r>
              <w:rPr>
                <w:rFonts w:ascii="Times New Roman" w:hAnsi="Times New Roman" w:cs="Times New Roman" w:eastAsia="Times New Roman"/>
                <w:sz w:val="26"/>
                <w:b w:val="on"/>
              </w:rPr>
              <w:t>2.700.000.000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