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48E" w:rsidRDefault="003C6195" w:rsidP="003C6195">
      <w:pPr>
        <w:jc w:val="center"/>
        <w:rPr>
          <w:rFonts w:ascii="Times New Roman" w:hAnsi="Times New Roman"/>
          <w:b/>
          <w:sz w:val="24"/>
        </w:rPr>
      </w:pPr>
      <w:r>
        <w:rPr>
          <w:rFonts w:ascii="Times New Roman" w:hAnsi="Times New Roman"/>
          <w:b/>
          <w:sz w:val="24"/>
        </w:rPr>
        <w:t/>
      </w:r>
      <w:r>
        <w:rPr>
          <w:rFonts w:ascii="Times New Roman" w:hAnsi="Times New Roman"/>
          <w:b/>
          <w:sz w:val="24"/>
        </w:rPr>
        <w:t>CỘNG HÒA XÃ HỘI CHỦ NGHĨA VIỆT NAM</w:t>
      </w:r>
    </w:p>
    <w:p w:rsidR="003C6195" w:rsidRPr="0040187F" w:rsidRDefault="0040187F" w:rsidP="003C6195">
      <w:pPr>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1930400</wp:posOffset>
                </wp:positionH>
                <wp:positionV relativeFrom="paragraph">
                  <wp:posOffset>230505</wp:posOffset>
                </wp:positionV>
                <wp:extent cx="1835150" cy="6350"/>
                <wp:effectExtent l="0" t="0" r="31750" b="31750"/>
                <wp:wrapNone/>
                <wp:docPr id="1" name="Straight Connector 1"/>
                <wp:cNvGraphicFramePr/>
                <a:graphic xmlns:a="http://schemas.openxmlformats.org/drawingml/2006/main">
                  <a:graphicData uri="http://schemas.microsoft.com/office/word/2010/wordprocessingShape">
                    <wps:wsp>
                      <wps:cNvCnPr/>
                      <wps:spPr>
                        <a:xfrm flipV="1">
                          <a:off x="0" y="0"/>
                          <a:ext cx="18351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3132F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2pt,18.15pt" to="296.5pt,18.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K3NawQEAANADAAAOAAAAZHJzL2Uyb0RvYy54bWysU01r3DAQvRfyH4TuWdsJCcGsN4cN7SW0 S9PmrsijtUBfjJS19993JO+6pS2UhlyEPua9mfdmtL6frGEHwKi963izqjkDJ32v3b7j3799vLzj LCbhemG8g44fIfL7zcWH9RhauPKDNz0gIxIX2zF0fEgptFUV5QBWxJUP4OhRebQi0RH3VY9iJHZr qqu6vq1Gj31ALyFGun2YH/mm8CsFMn1RKkJipuNUWyorlvUlr9VmLdo9ijBoeSpDvKEKK7SjpAvV g0iCvaL+g8pqiT56lVbS28orpSUUDaSmqX9T8zSIAEULmRPDYlN8P1r5+bBDpnvqHWdOWGrRU0Kh 90NiW+8cGeiRNdmnMcSWwrduh6dTDDvMoieFlimjw3OmyTckjE3F5ePiMkyJSbps7q5vmhtqhqS3 22vaEV01s2RswJg+gbcsbzputMseiFYcHmOaQ88hhMtVzXWUXToayMHGfQVFunK+gi4TBVuD7CBo FoSU4FLRRalLdIYpbcwCrP8NPMVnKJRp+x/wgiiZvUsL2Grn8W/Z03QuWc3xZwdm3dmCF98fS4eK NTQ2xdzTiOe5/PVc4D8/4uYHAAAA//8DAFBLAwQUAAYACAAAACEA//Xidd0AAAAJAQAADwAAAGRy cy9kb3ducmV2LnhtbEyPQU/DMAyF70j7D5EncWPp1jFYaTohxs6IARLHrPHaQuJUSba1/x5zgpv9 /PT8vXIzOCvOGGLnScF8loFAqr3pqFHw/ra7uQcRkyajrSdUMGKETTW5KnVh/IVe8bxPjeAQioVW 0KbUF1LGukWn48z3SHw7+uB04jU00gR94XBn5SLLVtLpjvhDq3t8arH+3p+cgmib56/xY/TbhQnj dhc/8WW+VOp6Ojw+gEg4pD8z/OIzOlTMdPAnMlFYBXm25C6Jh1UOgg2365yFAwt3OciqlP8bVD8A AAD//wMAUEsBAi0AFAAGAAgAAAAhALaDOJL+AAAA4QEAABMAAAAAAAAAAAAAAAAAAAAAAFtDb250 ZW50X1R5cGVzXS54bWxQSwECLQAUAAYACAAAACEAOP0h/9YAAACUAQAACwAAAAAAAAAAAAAAAAAv AQAAX3JlbHMvLnJlbHNQSwECLQAUAAYACAAAACEAICtzWsEBAADQAwAADgAAAAAAAAAAAAAAAAAu AgAAZHJzL2Uyb0RvYy54bWxQSwECLQAUAAYACAAAACEA//Xidd0AAAAJAQAADwAAAAAAAAAAAAAA AAAbBAAAZHJzL2Rvd25yZXYueG1sUEsFBgAAAAAEAAQA8wAAACUFAAAAAA== " strokecolor="#4579b8 [3044]"/>
            </w:pict>
          </mc:Fallback>
        </mc:AlternateContent>
        <w:t/>
      </w:r>
      <w:r w:rsidR="003C6195" w:rsidRPr="0040187F">
        <w:rPr>
          <w:rFonts w:ascii="Times New Roman" w:hAnsi="Times New Roman"/>
          <w:b/>
          <w:sz w:val="24"/>
        </w:rPr>
        <w:t/>
      </w:r>
      <w:r>
        <w:rPr>
          <w:rFonts w:ascii="Times New Roman" w:hAnsi="Times New Roman"/>
          <w:b/>
          <w:noProof/>
          <w:sz w:val="24"/>
        </w:rPr>
        <w:t>Độc lập – Tự do – Hạnh phúc</w:t>
      </w:r>
    </w:p>
    <w:p w:rsidR="003C6195" w:rsidRDefault="003C6195" w:rsidP="003C6195">
      <w:pPr>
        <w:jc w:val="center"/>
        <w:rPr>
          <w:rFonts w:ascii="Times New Roman" w:hAnsi="Times New Roman"/>
          <w:b/>
          <w:sz w:val="24"/>
        </w:rPr>
      </w:pPr>
    </w:p>
    <w:p w:rsidR="003C6195" w:rsidRDefault="003C6195" w:rsidP="003C6195">
      <w:pPr>
        <w:jc w:val="center"/>
        <w:rPr>
          <w:rFonts w:ascii="Times New Roman" w:hAnsi="Times New Roman"/>
          <w:b/>
          <w:sz w:val="24"/>
        </w:rPr>
      </w:pPr>
      <w:r>
        <w:rPr>
          <w:rFonts w:ascii="Times New Roman" w:hAnsi="Times New Roman"/>
          <w:b/>
          <w:sz w:val="24"/>
        </w:rPr>
        <w:t/>
      </w:r>
      <w:r>
        <w:rPr>
          <w:rFonts w:ascii="Times New Roman" w:hAnsi="Times New Roman"/>
          <w:b/>
          <w:sz w:val="24"/>
        </w:rPr>
        <w:t>HỢP ĐỒNG THẾ CHẤP QUYỀN SỬ DỤNG ĐẤT</w:t>
      </w:r>
    </w:p>
    <w:p w:rsidR="003C6195" w:rsidRDefault="003C6195" w:rsidP="003C6195">
      <w:pPr>
        <w:jc w:val="center"/>
        <w:rPr>
          <w:rFonts w:ascii="Times New Roman" w:hAnsi="Times New Roman"/>
          <w:sz w:val="24"/>
        </w:rPr>
      </w:pPr>
      <w:r>
        <w:rPr>
          <w:rFonts w:ascii="Times New Roman" w:hAnsi="Times New Roman"/>
          <w:sz w:val="24"/>
        </w:rPr>
        <w:t/>
      </w:r>
      <w:r>
        <w:rPr>
          <w:rFonts w:ascii="Times New Roman" w:hAnsi="Times New Roman"/>
          <w:sz w:val="24"/>
        </w:rPr>
        <w:t>Số: 123/2025/HĐQSDĐ</w:t>
      </w:r>
    </w:p>
    <w:p w:rsidR="003C6195" w:rsidRDefault="003C6195" w:rsidP="003C6195">
      <w:pPr>
        <w:pStyle w:val="ListParagraph"/>
        <w:numPr>
          <w:ilvl w:val="0"/>
          <w:numId w:val="1"/>
        </w:numPr>
        <w:rPr>
          <w:rFonts w:ascii="Times New Roman" w:hAnsi="Times New Roman"/>
          <w:sz w:val="24"/>
        </w:rPr>
      </w:pPr>
      <w:r>
        <w:rPr>
          <w:rFonts w:ascii="Times New Roman" w:hAnsi="Times New Roman"/>
          <w:sz w:val="24"/>
        </w:rPr>
        <w:t/>
      </w:r>
      <w:r>
        <w:rPr>
          <w:rFonts w:ascii="Times New Roman" w:hAnsi="Times New Roman"/>
          <w:sz w:val="24"/>
        </w:rPr>
        <w:t>Căn cứ Bộ luật Dân sự nước Cộng hòa xã hội chủ nghĩ Việt Nam;</w:t>
      </w:r>
    </w:p>
    <w:p w:rsidR="003C6195" w:rsidRDefault="003C6195" w:rsidP="003C6195">
      <w:pPr>
        <w:pStyle w:val="ListParagraph"/>
        <w:numPr>
          <w:ilvl w:val="0"/>
          <w:numId w:val="1"/>
        </w:numPr>
        <w:rPr>
          <w:rFonts w:ascii="Times New Roman" w:hAnsi="Times New Roman"/>
          <w:sz w:val="24"/>
        </w:rPr>
      </w:pPr>
      <w:r>
        <w:rPr>
          <w:rFonts w:ascii="Times New Roman" w:hAnsi="Times New Roman"/>
          <w:sz w:val="24"/>
        </w:rPr>
        <w:t/>
      </w:r>
      <w:r>
        <w:rPr>
          <w:rFonts w:ascii="Times New Roman" w:hAnsi="Times New Roman"/>
          <w:sz w:val="24"/>
        </w:rPr>
        <w:t>Căn cứ giấy đề nghị vay vốn và theo thỏa thuận của các bên.</w:t>
      </w:r>
    </w:p>
    <w:p w:rsidR="003C6195" w:rsidRDefault="003C6195" w:rsidP="003C6195">
      <w:pPr>
        <w:ind w:firstLine="720"/>
        <w:rPr>
          <w:rFonts w:ascii="Times New Roman" w:hAnsi="Times New Roman"/>
          <w:sz w:val="24"/>
        </w:rPr>
      </w:pPr>
      <w:r w:rsidRPr="003C6195">
        <w:rPr>
          <w:rFonts w:ascii="Times New Roman" w:hAnsi="Times New Roman"/>
          <w:sz w:val="24"/>
        </w:rPr>
        <w:t/>
      </w:r>
      <w:r>
        <w:rPr>
          <w:rFonts w:ascii="Times New Roman" w:hAnsi="Times New Roman"/>
          <w:sz w:val="24"/>
        </w:rPr>
        <w:t/>
      </w:r>
      <w:r>
        <w:rPr>
          <w:rFonts w:ascii="Times New Roman" w:hAnsi="Times New Roman"/>
          <w:sz w:val="24"/>
        </w:rPr>
        <w:t>Hôm nay, ngày 17 tháng 12 năm 2025 tại trụ sở Phòng Công chứng số 2 thành phố Hải Phòng chúng tôi gồm:</w:t>
      </w:r>
    </w:p>
    <w:p w:rsidR="00D0217B" w:rsidRDefault="003C6195" w:rsidP="003C6195">
      <w:pPr>
        <w:rPr>
          <w:rFonts w:ascii="Times New Roman" w:hAnsi="Times New Roman"/>
          <w:b/>
          <w:sz w:val="24"/>
        </w:rPr>
      </w:pPr>
      <w:r>
        <w:rPr>
          <w:rFonts w:ascii="Times New Roman" w:hAnsi="Times New Roman"/>
          <w:b/>
          <w:sz w:val="24"/>
        </w:rPr>
        <w:t/>
      </w:r>
      <w:r>
        <w:rPr>
          <w:rFonts w:ascii="Times New Roman" w:hAnsi="Times New Roman"/>
          <w:b/>
          <w:sz w:val="24"/>
        </w:rPr>
        <w:t>BÊN NHẬN THẾ CHẤP: QUỸ TÍN DỤNG NHÂN DÂN THÁI HỌC</w:t>
      </w:r>
    </w:p>
    <w:p w:rsidR="00E920BA" w:rsidRPr="00D0217B" w:rsidRDefault="00E920BA" w:rsidP="004614C0">
      <w:pPr>
        <w:ind w:firstLine="720"/>
        <w:rPr>
          <w:rFonts w:ascii="Times New Roman" w:hAnsi="Times New Roman"/>
          <w:sz w:val="24"/>
        </w:rPr>
      </w:pPr>
      <w:r>
        <w:rPr>
          <w:rFonts w:ascii="Times New Roman" w:hAnsi="Times New Roman"/>
          <w:sz w:val="24"/>
        </w:rPr>
        <w:t/>
      </w:r>
      <w:r>
        <w:rPr>
          <w:rFonts w:ascii="Times New Roman" w:hAnsi="Times New Roman"/>
          <w:sz w:val="24"/>
        </w:rPr>
        <w:t>Mã số danh nghiệp: 0800001806</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Địa chỉ đăng ký: Số 178, Ninh Chấp 5, phường Chu Văn An, thành phố Hải Phòng.</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Giấy chứng nhận đăng ký Hợp tác xã số: 251803 do sở Kế hoạc và Đầu tư tỉnh Hải Dương cấp lần đầu ngày 10 tháng 11 năm 1998.</w:t>
      </w:r>
    </w:p>
    <w:p w:rsidR="003C6195" w:rsidRDefault="003C6195" w:rsidP="003C6195">
      <w:pPr>
        <w:rPr>
          <w:rFonts w:ascii="Times New Roman" w:hAnsi="Times New Roman"/>
          <w:sz w:val="24"/>
        </w:rPr>
      </w:pPr>
      <w:r>
        <w:rPr>
          <w:rFonts w:ascii="Times New Roman" w:hAnsi="Times New Roman"/>
          <w:sz w:val="24"/>
        </w:rPr>
        <w:tab/>
        <w:t/>
      </w:r>
      <w:r w:rsidR="005541DE">
        <w:rPr>
          <w:rFonts w:ascii="Times New Roman" w:hAnsi="Times New Roman"/>
          <w:sz w:val="24"/>
        </w:rPr>
        <w:t/>
      </w:r>
      <w:bookmarkStart w:id="0" w:name="_GoBack"/>
      <w:bookmarkEnd w:id="0"/>
      <w:r>
        <w:rPr>
          <w:rFonts w:ascii="Times New Roman" w:hAnsi="Times New Roman"/>
          <w:sz w:val="24"/>
        </w:rPr>
        <w:t/>
      </w:r>
      <w:r>
        <w:rPr>
          <w:rFonts w:ascii="Times New Roman" w:hAnsi="Times New Roman"/>
          <w:sz w:val="24"/>
        </w:rPr>
        <w:t>Người đại diện: Bà: PHÙNG THỊ LOAN - Chức vụ: Giám đốc điều hành</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Sinh năm: 1982; Số CCCD: 030182016564; Cấp ngày: 22/12/2021; Nơi cấp: Cục cảnh sát quản lý hành chính về trật tự xã hội.</w:t>
      </w:r>
    </w:p>
    <w:p w:rsidR="003C6195" w:rsidRDefault="003C6195" w:rsidP="003C6195">
      <w:pPr>
        <w:rPr>
          <w:rFonts w:ascii="Times New Roman" w:hAnsi="Times New Roman"/>
          <w:b/>
          <w:sz w:val="24"/>
        </w:rPr>
      </w:pPr>
      <w:r>
        <w:rPr>
          <w:rFonts w:ascii="Times New Roman" w:hAnsi="Times New Roman"/>
          <w:b/>
          <w:sz w:val="24"/>
        </w:rPr>
        <w:t/>
      </w:r>
      <w:r>
        <w:rPr>
          <w:rFonts w:ascii="Times New Roman" w:hAnsi="Times New Roman"/>
          <w:b/>
          <w:sz w:val="24"/>
        </w:rPr>
        <w:t>BÊN THẾ CHẤP (BÊN VAY VỐN):</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Ông (Bà): ; Sinh ngày: ; Số điện thoại: .</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CCCD số: ; Ngày cấp: ; Nơi cấp: Cục cảnh sát QLHC về TTXH.</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Địa chỉ thường chú: , phường Chu Văn An, thành phố Hải Phòng.</w:t>
      </w:r>
    </w:p>
    <w:p w:rsidR="003C6195" w:rsidRDefault="003C6195" w:rsidP="003C6195">
      <w:pPr>
        <w:rPr>
          <w:rFonts w:ascii="Times New Roman" w:hAnsi="Times New Roman"/>
          <w:sz w:val="24"/>
        </w:rPr>
      </w:pPr>
      <w:r>
        <w:rPr>
          <w:rFonts w:ascii="Times New Roman" w:hAnsi="Times New Roman"/>
          <w:sz w:val="24"/>
        </w:rPr>
        <w:tab/>
        <w:t/>
      </w:r>
      <w:r w:rsidR="005515E1">
        <w:rPr>
          <w:rFonts w:ascii="Times New Roman" w:hAnsi="Times New Roman"/>
          <w:sz w:val="24"/>
        </w:rPr>
        <w:t xml:space="preserve"/>
      </w:r>
      <w:r w:rsidR="00D66184">
        <w:rPr>
          <w:rFonts w:ascii="Times New Roman" w:hAnsi="Times New Roman"/>
          <w:sz w:val="24"/>
        </w:rPr>
        <w:t/>
      </w:r>
      <w:r w:rsidR="005515E1">
        <w:rPr>
          <w:rFonts w:ascii="Times New Roman" w:hAnsi="Times New Roman"/>
          <w:sz w:val="24"/>
        </w:rPr>
        <w:t/>
      </w:r>
      <w:r w:rsidR="00D66184">
        <w:rPr>
          <w:rFonts w:ascii="Times New Roman" w:hAnsi="Times New Roman"/>
          <w:sz w:val="24"/>
        </w:rPr>
        <w:t/>
      </w:r>
      <w:r w:rsidR="00BF7360">
        <w:rPr>
          <w:rFonts w:ascii="Times New Roman" w:hAnsi="Times New Roman"/>
          <w:sz w:val="24"/>
        </w:rPr>
        <w:t/>
      </w:r>
      <w:r w:rsidR="00D66184">
        <w:rPr>
          <w:rFonts w:ascii="Times New Roman" w:hAnsi="Times New Roman"/>
          <w:sz w:val="24"/>
        </w:rPr>
        <w:t xml:space="preserve"/>
      </w:r>
      <w:r>
        <w:rPr>
          <w:rFonts w:ascii="Times New Roman" w:hAnsi="Times New Roman"/>
          <w:sz w:val="24"/>
        </w:rPr>
        <w:t/>
      </w:r>
      <w:r>
        <w:rPr>
          <w:rFonts w:ascii="Times New Roman" w:hAnsi="Times New Roman"/>
          <w:sz w:val="24"/>
        </w:rPr>
        <w:t>Và : ; Sinh ngày: .</w:t>
      </w:r>
    </w:p>
    <w:p w:rsidR="003C6195" w:rsidRDefault="003C6195" w:rsidP="003C6195">
      <w:pPr>
        <w:rPr>
          <w:rFonts w:ascii="Times New Roman" w:hAnsi="Times New Roman"/>
          <w:sz w:val="24"/>
        </w:rPr>
      </w:pPr>
      <w:r>
        <w:rPr>
          <w:rFonts w:ascii="Times New Roman" w:hAnsi="Times New Roman"/>
          <w:sz w:val="24"/>
        </w:rPr>
        <w:tab/>
        <w:t/>
      </w:r>
      <w:r w:rsidR="001C5807">
        <w:rPr>
          <w:rFonts w:ascii="Times New Roman" w:hAnsi="Times New Roman"/>
          <w:sz w:val="24"/>
        </w:rPr>
        <w:t xml:space="preserve"/>
      </w:r>
      <w:r>
        <w:rPr>
          <w:rFonts w:ascii="Times New Roman" w:hAnsi="Times New Roman"/>
          <w:sz w:val="24"/>
        </w:rPr>
        <w:t>CCCD số: ; Cấp ngày: ; Nơi cấp: Cục cảnh sát QLHC về TTXH.</w:t>
      </w:r>
    </w:p>
    <w:p w:rsidR="001C5807" w:rsidRDefault="001C5807" w:rsidP="003C6195">
      <w:pPr>
        <w:rPr>
          <w:rFonts w:ascii="Times New Roman" w:hAnsi="Times New Roman"/>
          <w:sz w:val="24"/>
        </w:rPr>
      </w:pPr>
      <w:r>
        <w:rPr>
          <w:rFonts w:ascii="Times New Roman" w:hAnsi="Times New Roman"/>
          <w:sz w:val="24"/>
        </w:rPr>
        <w:tab/>
        <w:t/>
      </w:r>
      <w:r>
        <w:rPr>
          <w:rFonts w:ascii="Times New Roman" w:hAnsi="Times New Roman"/>
          <w:sz w:val="24"/>
        </w:rPr>
        <w:t>Địa chỉ thường trú: , phường Chu Văn An, thành phố Hải Phòng.</w:t>
      </w:r>
    </w:p>
    <w:p w:rsidR="001C5807" w:rsidRDefault="001C5807" w:rsidP="003C6195">
      <w:pPr>
        <w:rPr>
          <w:rFonts w:ascii="Times New Roman" w:hAnsi="Times New Roman"/>
          <w:b/>
          <w:i/>
          <w:sz w:val="24"/>
        </w:rPr>
      </w:pPr>
      <w:r>
        <w:rPr>
          <w:rFonts w:ascii="Times New Roman" w:hAnsi="Times New Roman"/>
          <w:sz w:val="24"/>
        </w:rPr>
        <w:tab/>
        <w:t/>
      </w:r>
      <w:r>
        <w:rPr>
          <w:rFonts w:ascii="Times New Roman" w:hAnsi="Times New Roman"/>
          <w:b/>
          <w:i/>
          <w:sz w:val="24"/>
        </w:rPr>
        <w:t/>
      </w:r>
      <w:r>
        <w:rPr>
          <w:rFonts w:ascii="Times New Roman" w:hAnsi="Times New Roman"/>
          <w:sz w:val="24"/>
        </w:rPr>
        <w:t>Hai bên thỏa thuận ký hợp đồng thế chấp theo các điều khoản sau:</w:t>
      </w:r>
    </w:p>
    <w:p w:rsidR="001C5807" w:rsidRDefault="001C5807" w:rsidP="001C5807">
      <w:pPr>
        <w:jc w:val="center"/>
        <w:rPr>
          <w:rFonts w:ascii="Times New Roman" w:hAnsi="Times New Roman"/>
          <w:b/>
          <w:sz w:val="24"/>
        </w:rPr>
      </w:pPr>
      <w:r>
        <w:rPr>
          <w:rFonts w:ascii="Times New Roman" w:hAnsi="Times New Roman"/>
          <w:b/>
          <w:sz w:val="24"/>
        </w:rPr>
        <w:t/>
      </w:r>
      <w:r>
        <w:rPr>
          <w:rFonts w:ascii="Times New Roman" w:hAnsi="Times New Roman"/>
          <w:b/>
          <w:sz w:val="24"/>
        </w:rPr>
        <w:t>ĐIỀU 1: NGHĨA VỤ ĐƯỢC BẢO ĐẢM</w:t>
      </w:r>
    </w:p>
    <w:p w:rsidR="001C5807" w:rsidRPr="00E06A80" w:rsidRDefault="001C5807" w:rsidP="00E06A80">
      <w:pPr>
        <w:pStyle w:val="ListParagraph"/>
        <w:numPr>
          <w:ilvl w:val="0"/>
          <w:numId w:val="7"/>
        </w:numPr>
        <w:rPr>
          <w:rFonts w:ascii="Times New Roman" w:hAnsi="Times New Roman"/>
          <w:sz w:val="24"/>
        </w:rPr>
      </w:pPr>
      <w:r w:rsidRPr="00E06A80">
        <w:rPr>
          <w:rFonts w:ascii="Times New Roman" w:hAnsi="Times New Roman"/>
          <w:sz w:val="24"/>
        </w:rPr>
        <w:t xml:space="preserve"/>
      </w:r>
      <w:r w:rsidRPr="00E06A80">
        <w:rPr>
          <w:rFonts w:ascii="Times New Roman" w:hAnsi="Times New Roman"/>
          <w:sz w:val="24"/>
        </w:rPr>
        <w:lastRenderedPageBreak/>
        <w:t/>
      </w:r>
      <w:r>
        <w:rPr>
          <w:rFonts w:ascii="Times New Roman" w:hAnsi="Times New Roman"/>
          <w:sz w:val="24"/>
        </w:rPr>
        <w:t>Bên thế chấp đồng ý thế chấp quyền sử dụng đất, tài sản gắn liền với đất và các tài sản thế chấp khác của mình tại Điều 2, Hợp đồng này để đảm bảo việc thực hiện nghĩa vụ trả nợ của bên vay vốn với Qũy tín dụng nhân dân Thái Học phát sinh theo Hợp đồng tín dụng và các Phụ lục Hợp đồng đính kèm được ký kết giữa Bên nhận thế chấp và Bên vay vốn để đảm bảo cho toàn bộ nghĩa vụ trả nợ hiện tại và nghĩa vụ trả nợ phát sinh trong tương lai theo luật dân sự. Tổng dư nợ các khoản vay vốn tối đa không vượt quá 70% giá trị tài sản đảm bảo.</w:t>
      </w:r>
    </w:p>
    <w:p w:rsidR="001C5807" w:rsidRPr="00E06A80" w:rsidRDefault="001C5807" w:rsidP="00E06A80">
      <w:pPr>
        <w:pStyle w:val="ListParagraph"/>
        <w:numPr>
          <w:ilvl w:val="0"/>
          <w:numId w:val="7"/>
        </w:numPr>
        <w:rPr>
          <w:rFonts w:ascii="Times New Roman" w:hAnsi="Times New Roman"/>
          <w:sz w:val="24"/>
        </w:rPr>
      </w:pPr>
      <w:r w:rsidRPr="00E06A80">
        <w:rPr>
          <w:rFonts w:ascii="Times New Roman" w:hAnsi="Times New Roman"/>
          <w:sz w:val="24"/>
        </w:rPr>
        <w:t/>
      </w:r>
      <w:r w:rsidRPr="00E06A80">
        <w:rPr>
          <w:rFonts w:ascii="Times New Roman" w:hAnsi="Times New Roman"/>
          <w:i/>
          <w:sz w:val="24"/>
        </w:rPr>
        <w:t/>
      </w:r>
      <w:r w:rsidRPr="00E06A80">
        <w:rPr>
          <w:rFonts w:ascii="Times New Roman" w:hAnsi="Times New Roman"/>
          <w:sz w:val="24"/>
        </w:rPr>
        <w:t/>
      </w:r>
      <w:r w:rsidR="009B5057">
        <w:rPr>
          <w:rFonts w:ascii="Times New Roman" w:hAnsi="Times New Roman"/>
          <w:sz w:val="24"/>
        </w:rPr>
        <w:t/>
      </w:r>
      <w:r w:rsidRPr="00E06A80">
        <w:rPr>
          <w:rFonts w:ascii="Times New Roman" w:hAnsi="Times New Roman"/>
          <w:sz w:val="24"/>
        </w:rPr>
        <w:t xml:space="preserve"/>
      </w:r>
      <w:r w:rsidRPr="00E06A80">
        <w:rPr>
          <w:rFonts w:ascii="Times New Roman" w:hAnsi="Times New Roman"/>
          <w:i/>
          <w:sz w:val="24"/>
        </w:rPr>
        <w:t/>
      </w:r>
      <w:r>
        <w:rPr>
          <w:rFonts w:ascii="Times New Roman" w:hAnsi="Times New Roman"/>
          <w:sz w:val="24"/>
        </w:rPr>
        <w:t>Mức dư nợ khoản vay vốn của Bên thế chấp (bên vay vốn) với Quỹ tín dụng nhân dân Thái Học (bên nhận thế chấp) giữa hai bên ký kết là:  đồng; Bằng chữ () tiền Việt Nam hiện hành.</w:t>
      </w:r>
    </w:p>
    <w:p w:rsidR="001C5807" w:rsidRDefault="001C5807" w:rsidP="001C5807">
      <w:pPr>
        <w:pStyle w:val="ListParagraph"/>
        <w:jc w:val="center"/>
        <w:rPr>
          <w:rFonts w:ascii="Times New Roman" w:hAnsi="Times New Roman"/>
          <w:b/>
          <w:sz w:val="24"/>
        </w:rPr>
      </w:pPr>
      <w:r>
        <w:rPr>
          <w:rFonts w:ascii="Times New Roman" w:hAnsi="Times New Roman"/>
          <w:b/>
          <w:sz w:val="24"/>
        </w:rPr>
        <w:t/>
      </w:r>
      <w:r>
        <w:rPr>
          <w:rFonts w:ascii="Times New Roman" w:hAnsi="Times New Roman"/>
          <w:b/>
          <w:sz w:val="24"/>
        </w:rPr>
        <w:t>ĐIỀU 2: TÀI SẢN THẾ CHẤP</w:t>
      </w:r>
    </w:p>
    <w:p w:rsidR="001C5807" w:rsidRPr="00E06A80" w:rsidRDefault="001C5807" w:rsidP="00E06A80">
      <w:pPr>
        <w:pStyle w:val="ListParagraph"/>
        <w:numPr>
          <w:ilvl w:val="0"/>
          <w:numId w:val="19"/>
        </w:numPr>
        <w:ind w:left="360"/>
        <w:rPr>
          <w:rFonts w:ascii="Times New Roman" w:hAnsi="Times New Roman"/>
          <w:b/>
          <w:sz w:val="24"/>
        </w:rPr>
      </w:pPr>
      <w:r w:rsidRPr="00E06A80">
        <w:rPr>
          <w:rFonts w:ascii="Times New Roman" w:hAnsi="Times New Roman"/>
          <w:b/>
          <w:sz w:val="24"/>
        </w:rPr>
        <w:t/>
      </w:r>
      <w:r w:rsidR="00BC2EA0" w:rsidRPr="00E06A80">
        <w:rPr>
          <w:rFonts w:ascii="Times New Roman" w:hAnsi="Times New Roman"/>
          <w:b/>
          <w:sz w:val="24"/>
        </w:rPr>
        <w:t/>
      </w:r>
      <w:r w:rsidRPr="00E06A80">
        <w:rPr>
          <w:rFonts w:ascii="Times New Roman" w:hAnsi="Times New Roman"/>
          <w:b/>
          <w:sz w:val="24"/>
        </w:rPr>
        <w:t xml:space="preserve"/>
      </w:r>
      <w:r>
        <w:rPr>
          <w:rFonts w:ascii="Times New Roman" w:hAnsi="Times New Roman"/>
          <w:b/>
          <w:sz w:val="24"/>
        </w:rPr>
        <w:t>Tài sản thế chấp:</w:t>
      </w:r>
    </w:p>
    <w:p w:rsidR="001C5807" w:rsidRDefault="001C5807" w:rsidP="00DC5037">
      <w:pPr>
        <w:pStyle w:val="ListParagraph"/>
        <w:ind w:left="0" w:firstLine="360"/>
        <w:rPr>
          <w:rFonts w:ascii="Times New Roman" w:hAnsi="Times New Roman"/>
          <w:sz w:val="24"/>
        </w:rPr>
      </w:pPr>
      <w:r>
        <w:rPr>
          <w:rFonts w:ascii="Times New Roman" w:hAnsi="Times New Roman"/>
          <w:sz w:val="24"/>
        </w:rPr>
        <w:t xml:space="preserve"/>
      </w:r>
      <w:r w:rsidR="00BC2EA0">
        <w:rPr>
          <w:rFonts w:ascii="Times New Roman" w:hAnsi="Times New Roman"/>
          <w:sz w:val="24"/>
        </w:rPr>
        <w:t xml:space="preserve"/>
      </w:r>
      <w:r w:rsidR="00AD55EB" w:rsidRPr="00AD55EB">
        <w:rPr>
          <w:rFonts w:ascii="Times New Roman" w:hAnsi="Times New Roman"/>
          <w:sz w:val="24"/>
        </w:rPr>
        <w:t xml:space="preserve"/>
      </w:r>
      <w:r w:rsidR="00BC2EA0" w:rsidRPr="00AD55EB">
        <w:rPr>
          <w:rFonts w:ascii="Times New Roman" w:hAnsi="Times New Roman"/>
          <w:sz w:val="24"/>
        </w:rPr>
        <w:t/>
      </w:r>
      <w:r w:rsidR="00BC2EA0">
        <w:rPr>
          <w:rFonts w:ascii="Times New Roman" w:hAnsi="Times New Roman"/>
          <w:sz w:val="24"/>
        </w:rPr>
        <w:t/>
      </w:r>
      <w:r w:rsidR="000D77D2">
        <w:rPr>
          <w:rFonts w:ascii="Times New Roman" w:hAnsi="Times New Roman"/>
          <w:sz w:val="24"/>
        </w:rPr>
        <w:t xml:space="preserve"/>
      </w:r>
      <w:r w:rsidR="00BC2EA0">
        <w:rPr>
          <w:rFonts w:ascii="Times New Roman" w:hAnsi="Times New Roman"/>
          <w:sz w:val="24"/>
        </w:rPr>
        <w:t xml:space="preserve"/>
      </w:r>
      <w:r>
        <w:rPr>
          <w:rFonts w:ascii="Times New Roman" w:hAnsi="Times New Roman"/>
          <w:sz w:val="24"/>
        </w:rPr>
        <w:t>Là Quyền sử dụng đất của Bên thế chấp được xác lập theo Giấy chứng nhận Quyền sử dụng đất số  do  cấp ngày , Vào sổ cấp giấy chứng nhận quyền sử dụng đất số: 1703 QSDĐ/TH-CL mang tên   cụ thể như sau:</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Thửa đất số: ; tờ bản đồ: .</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Địa chỉ thửa đất: , huyện Chí Linh, tỉnh Hải Dương Nay là Phường Chu Văn An, thành phố Hải Phòng.</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Diện tích: m2 Bằng chữ: ( mét vuông)</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Hình thức sử dụng: + Sử dụng riêng: 690  m2; + Sử dụng chung: 0 m2.</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Mục đích sử dụng: + Đất ở: 200 m2; + Đất thừa hợp pháp: 490 m2.</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Thời hạn sử dụng đất: Lâu dài.</w:t>
      </w:r>
    </w:p>
    <w:p w:rsidR="00A10818" w:rsidRPr="00DC5037" w:rsidRDefault="00A10818" w:rsidP="00DC5037">
      <w:pPr>
        <w:pStyle w:val="ListParagraph"/>
        <w:numPr>
          <w:ilvl w:val="0"/>
          <w:numId w:val="19"/>
        </w:numPr>
        <w:ind w:left="360"/>
        <w:rPr>
          <w:rFonts w:ascii="Times New Roman" w:hAnsi="Times New Roman"/>
          <w:b/>
          <w:sz w:val="24"/>
        </w:rPr>
      </w:pPr>
      <w:r w:rsidRPr="00DC5037">
        <w:rPr>
          <w:rFonts w:ascii="Times New Roman" w:hAnsi="Times New Roman"/>
          <w:b/>
          <w:sz w:val="24"/>
        </w:rPr>
        <w:t/>
      </w:r>
      <w:r>
        <w:rPr>
          <w:rFonts w:ascii="Times New Roman" w:hAnsi="Times New Roman"/>
          <w:b/>
          <w:sz w:val="24"/>
        </w:rPr>
        <w:t>Tài sản gắn liền với đất:</w:t>
      </w:r>
    </w:p>
    <w:p w:rsidR="00A10818" w:rsidRDefault="00A10818" w:rsidP="00DC5037">
      <w:pPr>
        <w:pStyle w:val="ListParagraph"/>
        <w:ind w:left="0" w:firstLine="360"/>
        <w:rPr>
          <w:rFonts w:ascii="Times New Roman" w:hAnsi="Times New Roman"/>
          <w:sz w:val="24"/>
        </w:rPr>
      </w:pPr>
      <w:r>
        <w:rPr>
          <w:rFonts w:ascii="Times New Roman" w:hAnsi="Times New Roman"/>
          <w:sz w:val="24"/>
        </w:rPr>
        <w:t/>
      </w:r>
      <w:r>
        <w:rPr>
          <w:rFonts w:ascii="Times New Roman" w:hAnsi="Times New Roman"/>
          <w:sz w:val="24"/>
        </w:rPr>
        <w:t>Đã được thỏa thuận tại Điều 4 của Hợp đồng này.</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Toàn bộ tải sản đã, đang và sẽ hình thành trong tương lai gắn liền trên quyền sử dụng đất nêu tại điều này cũng thuộc tài sản thế chấp theo Hợp đồng này.</w:t>
      </w:r>
    </w:p>
    <w:p w:rsidR="00A10818" w:rsidRPr="00DC5037" w:rsidRDefault="00A10818" w:rsidP="00DC5037">
      <w:pPr>
        <w:pStyle w:val="ListParagraph"/>
        <w:numPr>
          <w:ilvl w:val="0"/>
          <w:numId w:val="19"/>
        </w:numPr>
        <w:ind w:left="360"/>
        <w:rPr>
          <w:rFonts w:ascii="Times New Roman" w:hAnsi="Times New Roman"/>
          <w:b/>
          <w:sz w:val="24"/>
        </w:rPr>
      </w:pPr>
      <w:r w:rsidRPr="00DC5037">
        <w:rPr>
          <w:rFonts w:ascii="Times New Roman" w:hAnsi="Times New Roman"/>
          <w:b/>
          <w:sz w:val="24"/>
        </w:rPr>
        <w:t/>
      </w:r>
      <w:r>
        <w:rPr>
          <w:rFonts w:ascii="Times New Roman" w:hAnsi="Times New Roman"/>
          <w:b/>
          <w:sz w:val="24"/>
        </w:rPr>
        <w:t>Giá trị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Tổng giá trị tài sản là tổng số tiền ghi trong biên bản định giá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Việc định giá tài sản được ghi trong Biên bản định giá số 01/077  ngày 17/12/2025 với giá trị tài sản được xác định tại thời điểm hiện tại; giá trị tài sản sẽ được xác định lại trong các biên bản định giá lại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Biên bản định giá và các biên bản định giá lại tài sản là bộ phận không tách rời của Hợp đồng này.</w:t>
      </w:r>
    </w:p>
    <w:p w:rsidR="00A10818" w:rsidRDefault="00A10818" w:rsidP="00A10818">
      <w:pPr>
        <w:pStyle w:val="ListParagraph"/>
        <w:jc w:val="center"/>
        <w:rPr>
          <w:rFonts w:ascii="Times New Roman" w:hAnsi="Times New Roman"/>
          <w:b/>
          <w:sz w:val="24"/>
        </w:rPr>
      </w:pPr>
      <w:r>
        <w:rPr>
          <w:rFonts w:ascii="Times New Roman" w:hAnsi="Times New Roman"/>
          <w:b/>
          <w:sz w:val="24"/>
        </w:rPr>
        <w:t/>
      </w:r>
      <w:r>
        <w:rPr>
          <w:rFonts w:ascii="Times New Roman" w:hAnsi="Times New Roman"/>
          <w:b/>
          <w:sz w:val="24"/>
        </w:rPr>
        <w:t>ĐIỀU 3: THỜI HẠN THẾ CHẤP TÀI SẢN</w:t>
      </w:r>
    </w:p>
    <w:p w:rsidR="00A10818" w:rsidRPr="00E06A80" w:rsidRDefault="00E06A80" w:rsidP="00E06A80">
      <w:pPr>
        <w:pStyle w:val="ListParagraph"/>
        <w:numPr>
          <w:ilvl w:val="0"/>
          <w:numId w:val="17"/>
        </w:numPr>
        <w:rPr>
          <w:rFonts w:ascii="Times New Roman" w:hAnsi="Times New Roman"/>
          <w:sz w:val="24"/>
        </w:rPr>
      </w:pPr>
      <w:r w:rsidRPr="00E06A80">
        <w:rPr>
          <w:rFonts w:ascii="Times New Roman" w:hAnsi="Times New Roman"/>
          <w:sz w:val="24"/>
        </w:rPr>
        <w:t/>
      </w:r>
      <w:r>
        <w:rPr>
          <w:rFonts w:ascii="Times New Roman" w:hAnsi="Times New Roman"/>
          <w:sz w:val="24"/>
        </w:rPr>
        <w:t>Việc thế chấp tài sản tại Điều 2 theo Hợp đồng này có hiệu lực và kết thúc khi bên thế chấp (Bên vay vốn) hoàn thành các nghĩa vụ theo Hợp đồng tín dụng và các phụ lục đính kèm đã ký kết với bên nhận thế chấp (Quỹ tín dụng nhân dân Thái Học).</w:t>
      </w:r>
    </w:p>
    <w:p w:rsidR="00E06A80" w:rsidRDefault="00E06A80" w:rsidP="00E06A80">
      <w:pPr>
        <w:pStyle w:val="ListParagraph"/>
        <w:ind w:left="1080"/>
        <w:jc w:val="center"/>
        <w:rPr>
          <w:rFonts w:ascii="Times New Roman" w:hAnsi="Times New Roman"/>
          <w:b/>
          <w:sz w:val="24"/>
        </w:rPr>
      </w:pPr>
      <w:r>
        <w:rPr>
          <w:rFonts w:ascii="Times New Roman" w:hAnsi="Times New Roman"/>
          <w:b/>
          <w:sz w:val="24"/>
        </w:rPr>
        <w:t/>
      </w:r>
      <w:r>
        <w:rPr>
          <w:rFonts w:ascii="Times New Roman" w:hAnsi="Times New Roman"/>
          <w:b/>
          <w:sz w:val="24"/>
        </w:rPr>
        <w:t>ĐIỀU 4: CÁC THỎA THUẬN VỀ QUYỀN SỞ HỮU TÀI SẢN GẮN LIỀN VỚI ĐẤT</w:t>
      </w:r>
    </w:p>
    <w:p w:rsidR="00E06A80" w:rsidRPr="00296A5D" w:rsidRDefault="00E06A80" w:rsidP="00E06A80">
      <w:pPr>
        <w:pStyle w:val="ListParagraph"/>
        <w:numPr>
          <w:ilvl w:val="0"/>
          <w:numId w:val="14"/>
        </w:numPr>
        <w:rPr>
          <w:rFonts w:ascii="Times New Roman" w:hAnsi="Times New Roman"/>
          <w:b/>
          <w:sz w:val="24"/>
        </w:rPr>
      </w:pPr>
      <w:r w:rsidRPr="00E06A80">
        <w:rPr>
          <w:rFonts w:ascii="Times New Roman" w:hAnsi="Times New Roman"/>
          <w:sz w:val="24"/>
        </w:rPr>
        <w:t/>
      </w:r>
      <w:r>
        <w:rPr>
          <w:rFonts w:ascii="Times New Roman" w:hAnsi="Times New Roman"/>
          <w:sz w:val="24"/>
        </w:rPr>
        <w:t/>
      </w:r>
      <w:r w:rsidR="00296A5D">
        <w:rPr>
          <w:rFonts w:ascii="Times New Roman" w:hAnsi="Times New Roman"/>
          <w:sz w:val="24"/>
        </w:rPr>
        <w:t xml:space="preserve"/>
      </w:r>
      <w:r w:rsidR="00296A5D">
        <w:rPr>
          <w:rFonts w:ascii="Times New Roman" w:hAnsi="Times New Roman"/>
          <w:sz w:val="24"/>
          <w:vertAlign w:val="superscript"/>
        </w:rPr>
        <w:t/>
      </w:r>
      <w:r w:rsidR="00296A5D">
        <w:rPr>
          <w:rFonts w:ascii="Times New Roman" w:hAnsi="Times New Roman"/>
          <w:sz w:val="24"/>
        </w:rPr>
        <w:t xml:space="preserve"/>
      </w:r>
      <w:r>
        <w:rPr>
          <w:rFonts w:ascii="Times New Roman" w:hAnsi="Times New Roman"/>
          <w:sz w:val="24"/>
        </w:rPr>
        <w:t xml:space="preserve">Do tài sản gắn liền với đất chưa được cấp giấy chứng minh quyền sở hữu tài sản nên Bên thế chấp (bên vay vốn) đồng ý, tự nguyện kê khai những tài sản gắn liền với đất để bên nhận thế chấp (Quỹ tín dụng nhân dân Thái Học) định giá tài sản gắn liền với đất trên thửa số:  tờ bản đồ số:  là một mảnh đất ở hợp pháp lâu dài với diện tích   m2. </w:t>
      </w:r>
    </w:p>
    <w:p w:rsidR="00296A5D" w:rsidRPr="00296A5D" w:rsidRDefault="00296A5D" w:rsidP="00E06A80">
      <w:pPr>
        <w:pStyle w:val="ListParagraph"/>
        <w:numPr>
          <w:ilvl w:val="0"/>
          <w:numId w:val="14"/>
        </w:numPr>
        <w:rPr>
          <w:rFonts w:ascii="Times New Roman" w:hAnsi="Times New Roman"/>
          <w:b/>
          <w:sz w:val="24"/>
        </w:rPr>
      </w:pPr>
      <w:r>
        <w:rPr>
          <w:rFonts w:ascii="Times New Roman" w:hAnsi="Times New Roman"/>
          <w:sz w:val="24"/>
        </w:rPr>
        <w:t/>
      </w:r>
      <w:r>
        <w:rPr>
          <w:rFonts w:ascii="Times New Roman" w:hAnsi="Times New Roman"/>
          <w:sz w:val="24"/>
        </w:rPr>
        <w:t>Trong trường hợp đến hạn trả nợ mà Bên thế chấp (bên vay vốn) không trả được nợ phải xử lý tài sản thế chấp thì tài sản gắn liền với đất được xử lý đồng thời với quyền sử dụng đất.</w:t>
      </w:r>
    </w:p>
    <w:p w:rsidR="00B576A8" w:rsidRPr="00296A5D" w:rsidRDefault="00B576A8" w:rsidP="00A915B3">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5: QUYỀN VÀ NGHĨA VỤ CỦA BÊN THẾ CHẤP ( BÊN VAY VỐN )</w:t>
      </w:r>
    </w:p>
    <w:p w:rsidR="00B576A8" w:rsidRPr="00296A5D" w:rsidRDefault="00B576A8" w:rsidP="00AD55EB">
      <w:pPr>
        <w:ind w:hanging="108"/>
        <w:jc w:val="both"/>
        <w:rPr>
          <w:rFonts w:ascii="Times New Roman" w:hAnsi="Times New Roman"/>
          <w:b/>
          <w:bCs/>
          <w:sz w:val="24"/>
        </w:rPr>
      </w:pPr>
      <w:r w:rsidRPr="00296A5D">
        <w:rPr>
          <w:rFonts w:ascii="Times New Roman" w:hAnsi="Times New Roman"/>
          <w:b/>
          <w:bCs/>
          <w:sz w:val="24"/>
        </w:rPr>
        <w:lastRenderedPageBreak/>
        <w:t/>
      </w:r>
      <w:r>
        <w:rPr>
          <w:rFonts w:ascii="Times New Roman" w:hAnsi="Times New Roman"/>
          <w:b/>
          <w:bCs/>
          <w:sz w:val="24"/>
        </w:rPr>
        <w:t>1. Quyền của Bên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Được khai thác công dụng, hưởng hoa lợi lợi tức từ tài sản.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Được đầu tư làm tăng giá trị tài sản thế chấp. Giá trị tăng thêm cũng thuộc tài sản thế chấp nêu tại Điều 2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Nhận lại giấy tờ gốc chứng nhận về quyền sở hữu, sử dụng, quản lý tài sản thế chấp đã giao cho Bên nhận thế chấp tại Điều 2 hợp đồng này sau khi thực hiện xong nghĩa vụ của mình đối với Bên nhận thế chấp, hoặc thay thế bằng biện pháp bảo đảm khác hoặc thay thế bằng tài sản bảo đảm khác.</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Các quyền khác theo quy định của pháp luật. </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2. Nghĩa vụ của Bên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Thực hiện việc công chứng, chứng thực, đăng ký giao dịch bảo đảm Hợp đồng này tại cơ quan có thẩm quyền theo yêu cầu của Bên nhận thế chấp và chịu mọi chi phí để thực hiện  thế chấp tài sản (định giá, công chứng, đăng ký), xử lý tài sản bảo đảm (nếu có).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Giao toàn bộ giấy tờ gốc về chứng nhận quyền sở hữu, sử dụng, quản lý tài sản thế chấp và các giấy tờ khác có liên quan cho Bên nhận thế chấp ngay khi ký kết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Tiếp tục bảo quản, giữ gìn tài sản thế chấp, sử dụng, khai thác tài sản thế chấp nhưng không được làm giảm giá trị tài sản thế chấp so với khi ký hợp đồng (không tính đến hao mòn vô hình  và yếu tố trượt giá). Không thay đổi, sửa chữa cấu hình và các bộ phận của tài sản thế chấp làm giảm sút giá trị tài sản bảo đảm. Việc sửa chữa lớn, sáp nhập, trộn lẫn với các tài sản khác phải thông báo cho Bên nhận thế chấp biết. Bên thế chấp phải áp dụng các biện pháp cần thiết để tránh nguy cơ giảm sút hoặc mất giá trị tài sản bảo đảm, kể cả việc ngừng khai thác, sử dụng các tài sản bảo đảm đó.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Thông báo trung thực và kịp thời cho bên nhận thế chấp về các quyền và lợi ích hợp pháp của người thứ ba (nếu có) đối với tài sản thế chấp, kể cả việc thay đổi thứ tự thay đổi ưu tiên thanh toán (nếu có) đối với các chủ nợ khác trong trường hợp tài sản được bảo đảm thực hiện nhiều nghĩa vụ, thông báo về việc thay đổi tình trạng pháp lý, hiện trạng của tài sản thế chấp. Nếu không thông báo mà Bên nhận thế chấp biết được thì căn cứ vào mức độ nghiêm trọng của vi phạm. Bên nhận thế chấp sẽ yêu cầu bổ sung, thay thế tài sản bảo đảm; huỷ hợp đồng thế chấp và yêu cầu bồi thường thiệt hại đồng thời áp dụng các biện pháp khác để ngừng giải ngân và thu hồi nợ trước hạn.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Không được bán, trao đổi, chuyển nhượng, cho, tặng, cho mượn, cho thuê, góp vốn tài sản thế chấp, sử dụng tài sản thế chấp để cầm cố, thế chấp bảo đảm thực hiện cho tổ chức, cá nhân khác khi chưa có biện pháp bảo đảm khác thay thế và chưa được sự đồng ý bằng văn bản của Bên nhận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Áp dụng các biện pháp cần thiết để khắc phục, kể cả phải ngừng việc khai thác công dụng tài sản thế chấp do việc khai thác đó mà tài sản thế chấp có nguy cơ bị hư hỏng, mất giá trị hoặc giảm sút giá trị và phải thông báo ngay cho Bên nhận thế chấp biết. </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g) Trường hợp Bên thế chấp làm mất, làm hỏng hoặc làm mất giá trị tài sản thế chấp thì phải thông báo ngay cho bên nhận thế chấp và bổ sung, thay thế tài sản khác hoặc bổ sung, thay thế biện pháp bảo đảm khác; nếu không thực hiện được như vậy thì Bên nhận thế chấp có quyền yêu cầu bên thế chấp thực hiện nghĩa vụ trước hạn trừ trường hợp có thoả thuận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h) Phối hợp, tạo điều kiện để Bên nhận thế chấp kiểm tra định kỳ hoặc đột xuất tài sản thế chấp và thực hiện việc định giá lại tài sản thế chấp theo quy định nội bộ của Bên nhận thế chấp.</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k) Giao tài sản thế chấp cho bên nhận thế chấp trong trường hợp phải xử lý tài sản thế chấp theo  Hợp đồng này. </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6: QUYỀN VÀ NGHĨA VỤ CỦA BÊN NHẬN THẾ CHẤP</w:t>
      </w:r>
    </w:p>
    <w:p w:rsidR="00B576A8" w:rsidRPr="00296A5D" w:rsidRDefault="00B576A8" w:rsidP="00AD55EB">
      <w:pPr>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bCs/>
          <w:sz w:val="24"/>
        </w:rPr>
        <w:t xml:space="preserve">1. Quyền của Bên nhận thế chấp: </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Kiểm kê, kiểm tra, giám sát việc sử dụng, khai thác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Chủ động hoặc phối hợp với bên thế chấp đăng ký giao dịch bảo đảm Hợp đồng thế chấp, công chứng, chứng thực hợp đồng thế chấp. Trường hợp Bên nhận thế chấp đứng ra thực hiện thủ tục công chứng, chứng thực, đăng ký giao dịch bảo đảm Hợp đồng thế chấp thì có quyền yêu cầu Bên thế chấp hoàn trả chi phí cần thiết đó theo hoá đơn thực tế.</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Yêu cầu bên thế chấp cung cấp thông tin về thực trạng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Yêu cầu Bên thế chấp áp dụng các biện pháp cần thiết để bảo toàn tài sản thế chấp kể cả việc ngừng khai thác, sử dụng tài sản thế chấp nếu thấy có nguy cơ làm mất giá trị hoặc giảm sút giá trị nếu tiếp tục khai thác, sử dụng.</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Yêu cầu bên mượn, bên thuê tài sản thế chấp (nếu có) phải chấm dứt khai thác, sử dụng tài sản thế chấp nếu việc sử dụng, khai thác làm mất giá trị hoặc giảm sút giá trị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Yêu cầu Bên thế chấp thay thế, bổ sung bằng tài sản khác khi giá trị tài sản thế chấp suy giảm hoặc mất giá trị do khấu hao tài sản hoặc hao mòn tự nhiên (nếu có) hoặc vì bất kỳ lý do nào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g) Truy tìm, đòi lại tài sản thế chấp nếu Bên thế chấp tẩu tán dưới mọi hình thức, yêu cầu các cơ quan nhà nước có thẩm quyền áp dụng các biện pháp khẩn cấp tạm thời đối với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h) Yêu cầu cơ quan nhà nước có thẩm quyền tạm thời định chỉ việc làm thủ tục chuyển quyền sở hữu, quyền sử dụng tài sản thế chấp cho người khác nếu bên thế chấp chuyển quyền sở hữu, quyền sử dụng tài sản thế chấp khi chưa được sự chấp thuận bằng văn bản của Bên nhận thế chấp hoặc trái với nội dung đã chấp thuận của Bên nhận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i) Yêu cầu Bên thế chấp, bên chiếm hữu bất hợp pháp phải giao tài sản thế chấp để xử lý thu hồi nợ khi Bên thế chấp không thực hiện đúng nghĩa vụ theo Hợp đồng tín dụng và các nghĩa vụ của Bên thế chấp theo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j) Nếu tài sản thế chấp nằm trong diện quy hoạch của tỉnh, thành phố và phải giải phóng mặt bằng thì toàn bộ số tiền (hoặc tài sản khác) được đền bù đều do Bên nhận thế chấp quản lý (được coi là tài sản bảo đảm thay thế) để đảm bảo thu hồi nợ. Bên thế chấp bằng Hợp đồng này ủy quyền vô điều kiện và không hủy ngang cho Bên nhận thế chấp được thay mặt Bên thế chấp nhận tiền đền bù và/hoặc ký các văn bản, thực hiện các thủ tục cần thiết khác tại các cơ quan nhà nước có thẩm quyền để nhận tiền đền bù (nếu cần). Tiền đền bù thu được sẽ được sử dụng để thu nợ (kể cả trước hạn) của Bên thế chấp, trừ trường hợp các bên có thỏa thuận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k) Được áp dụng tất cả các biện pháp cần thiết để xử lý tài sản thế chấp, thu hồi nợ (trước hạn), ngừng giải ngân nếu phát hiện hoặc có cơ sở để cho rằng các cam đoan và bảo đảm của Bên thế chấp tại Hợp đồng này là không đúng sự thật.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l) Các quyền khác theo quy định của pháp luật.</w:t>
      </w:r>
    </w:p>
    <w:p w:rsidR="00B576A8" w:rsidRPr="00296A5D" w:rsidRDefault="00B576A8" w:rsidP="00AD55EB">
      <w:pPr>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bCs/>
          <w:sz w:val="24"/>
        </w:rPr>
        <w:t xml:space="preserve">2. Nghĩa vụ của Bên nhận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Giữ giấy tờ gốc giấy chứng nhận quyền sở hữu, sử dụng, quản lý và các giấy tờ khác có liên quan đến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Giao lại cho Bên thế chấp toàn bộ giấy tờ chứng nhận quyền sở hữu, sử dụng tài sản thế chấp và các giấy tờ khác liên quan đã nhận sau khi Bên thế chấp đã thực hiện đầy đủ nghĩa vụ của mình theo các Hợp đồng tín dụng hoặc thay đổi tài sản thế chấp bằng biện pháp bảo đảm khác và hai bên đã làm thủ tục giải trừ thế chấp.</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7: XỬ LÝ TÀI SẢN THẾ CHẤP</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1. Các trường hợp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Đến hạn thực hiện nghĩa vụ trả nợ theo các Hợp đồng tín dụng/Hợp đồng cấp bảo lãnh đã ký với Bên nhận thế chấp mà Bên thế chấp không thực hiện hoặc thực hiện không đúng nghĩa vụ.</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Bên thế chấp vi phạm nghĩa vụ của mình theo Hợp đồng tín dụng, Hợp đồng cấp bảo lãnh được bảo đảm bằng Hợp đồng thế chấp này dẫn đến việc phải thực hiện nghĩa vụ trả nợ trước hạn.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thế chấp vi phạm Hợp đồng thế chấp này và Bên nhận thế chấp đánh giá việc xử lý tài sản thế chấp là cần thiết để thu nợ (trước hạn nếu có);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Tài sản thế chấp phải được xử lý để Bên thế chấp thực hiện nghĩa vụ khác theo quy định của pháp luật.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Theo thỏa thuận của các bên.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Các trường hợp khác do pháp luật quy định.</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2. Phương thức xử lý tài sản bảo đảm</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Trường hợp phải xử lý tài sản theo quy định tại khoản 1 Điều này, Bên nhận thế chấp được quyền thực hiện theo một trong các phương thức sau: </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a. Bên thế chấp đồng ý cho Bên nhận thế chấp nhận chính tài sản thế chấp để thay thế cho việc thực hiện nghĩa vụ trả nợ nếu Bên nhận thế chấp yêu cầu. Giá trị tài sản thế chấp do hai bên thoả thuận trên cơ sở mặt bằng giá tài sản cùng loại trên thị trường tại địa phương vào thời điểm đó.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Bán tài sản thế chấp: Thực hiện theo một trong các phương thức sau do Bên nhận thế chấp toàn quyền quyết định:</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 Bán trực tiếp cho người mua: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Bên thế chấp đứng chủ (hoặc phối hợp với Bên nhận thế chấp) bán tài sản thế chấp để trả nợ Bên nhận thế chấp Giá cả tối thiểu của tài sản thế chấp do hai bên thoả thuận trên cơ sở mặt bằng giá tài sản cùng loại trên thị trường tại địa phương vào thời điểm đó. Giá bán tài sản thế chấp không được thấp hơn giá tối thiểu đã thoả thuận. Thời hạn bán tài sản thế chấp do hai bên thống nhất.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Trường hợp Bên thế chấp không đứng chủ bán tài sản hoặc các bên không thống nhất được về giá bán tài sản, thì Bên nhận thế chấp được quyền quyết định thuê Công ty tư vấn thẩm định giá tài sản để làm cơ sở xác định giá bán tài sản hoặc ngân hàng được quyền tự xác định giá bán tài sản bảo đảm trên cơ sở mặt bằng giá tài sản cùng loại trên thị trường vào thời điểm đó và Bên thế chấp cam kết sẽ trực tiếp thực hiện hoặc theo đây, ủy quyền không hủy ngang và duy nhất cho Bên nhân thế chấp được đại diện, nhân danh Bên thế chấp tiến hành các thủ tục bán tài sản bảo đảm, chuyển nhượng tài sản bảo đảm cho bên thứ ba.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Đăng báo bán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Bên nhận thế chấp được quyền đơn phương bán tài sản thế chấp theo hình thức đăng báo bán tài sản mà không cần sự đồng ý của Bên thế chấp. Giá bán tài sản thế chấp sẽ do Bên nhận thế chấp toàn quyền xác định trên cơ sở mặt bằng giá tài sản cùng loại trên thị trường vào thời điểm đó hoặc thuê Công ty định giá. Việc đăng báo được thực hiện tối thiểu một lần và Bên nhận thế chấp được toàn quyền bán tài sản thế chấp cho người chào mua cao nhất, kể cả trong trường hợp chỉ có một người chào mua.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Bán đấu giá tài sản: Giá tài sản thế chấp làm căn cứ bán đấu giá (giá đấu giá) được xác định theo thỏa thuận của Bên thế chấp và Bên nhận thế chấp; hoặc trường hợp các bên không thống nhất được giá đấu giá thì Bên nhận thế chấp toàn quyền quyết định xác định giá trị tài sản thế chấp theo một trong các phương thức sau: (A) Bên nhận thế chấp xác định giá đấu giá trên cơ sở mặt bằng giá tài sản cùng loại trên thị trường tại địa phương vào thời điểm đó; hoặc (B) thuê Công ty định giá; hoặc (C) thuê Trung tâm bán đấu giá (hoặc tổ chức có chức năng bán đấu giá) xác định trên cơ sở hợp đồng ủy quyền bán đấu giá tài sản (nếu có thỏa thuận), Hợp đồng ủy quyền bán đấu giá tài sản được ký kết với Trung tâm bán đấu giá (hoặc tổ chức có chức năng bán đấu giá).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nhận thế chấp yêu cầu Toà án giải quyết,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d. Các cách thức khác theo quy định của pháp luật.</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8: THỰC HIỆN QUYỀN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Trường hợp xử lý tài sản thế chấp theo quy định tại Hợp đồng này, Bên nhận thế chấp có quyền định đoạt toàn bộ tài sản mà không cần bất cứ sự chuyển giao, chấp thuận nào khác từ phía Bên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Trong quá trình thực hiện xử lý tài sản thế chấp, Bên nhận thế chấp được thực hiện toàn bộ các quyền của Bên thế chấp với tư cách là chủ sở hữu tài sản, bao gồm và không giới hạn bởi các quyền năng sau:</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Chỉ định hoặc ủy quyền lại việc xử lý tài sản thế chấp cho một bên thứ ba khác (không phân biệt cá nhân hoặc tổ chức), thay thế Bên nhận thế chấp thực hiện các quyền của Bên thế chấp trong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Bên nhận thế chấp được quyền bán hoặc định đoạt dưới bất kỳ hình thức khác nào đối với tài sản theo một hay nhiều giao dịch theo phương thức do Bên nhận thế chấp quyết định phù hợp với quy định pháp luật và thỏa thuận của các bên tại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nhận thế chấp được toàn quyền đàm phán, ký kết, sửa đổi, từ bỏ hoặc hủy bỏ bất kỳ hợp đồng nào cấu thành hoặc có liên quan đến việc xử lý tài sản bảo đảm;</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Bên nhận thế chấp được thực hiện các quyền khác của chủ sở hữu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3. Trong quá trình xử lý tài sản, Bên nhận thế chấp được thực hiện bất kỳ hành động, thủ tục nào trước cơ quan nhà nước có thẩm quyền (không giới hạn bởi các thủ tục chuyển nhượng tài sản bảo đảm) và ký bất kỳ văn kiện nào (không giới hạn bởi Hợp đồng ủy quyền cho Đơn vị bán đấu giá tài sản, đăng báo bán đấu giá, Hợp đồng chuyển nhượng tài sản…) với người mua để đạt được mục đích xử lý tài sản.</w:t>
      </w:r>
    </w:p>
    <w:p w:rsidR="00B576A8" w:rsidRPr="00296A5D" w:rsidRDefault="00B576A8" w:rsidP="00AD55EB">
      <w:pPr>
        <w:jc w:val="center"/>
        <w:rPr>
          <w:rFonts w:ascii="Times New Roman" w:hAnsi="Times New Roman"/>
          <w:b/>
          <w:bCs/>
          <w:sz w:val="24"/>
        </w:rPr>
      </w:pP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9: XỬ LÝ TIỀN BÁN TÀI SẢN THẾ CHẤP</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1. Tiền bán tài sản thế chấp dùng để thanh toán theo thứ tự sau: các chi phí bảo quản, chi phí xử lý tài sản thế chấp và các chi phí cần thiết khác có liên quan đến xử lý tài sản; thanh toán theo thứ tự trả nợ gốc, lãi vay, lãi phạt, phí, tiền bồi thường thiệt hại (nếu có) cho Bên nhận thế chấp tương ứng với phạm vi bảo đảm thực hiện nghĩa vụ của tài sản thế chấp nêu tại Điều 1 Hợp đồng này, trừ khi các bên có thỏa thuận khác/hoặc theo một thứ tự khác do Bên nhận thế chấp tự quyết định theo quy định nội bộ của Bên nhận thế chấp và có thông báo bằng văn bản cho Bên thế chấp biết.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Nếu tiền xử lý tài sản thế chấp sau khi thanh toán theo khoản 1 Điều này còn thiếu thì Bên thế chấp vẫn phải tiếp tục có nghĩa vụ thanh toán đối với phần còn thiếu đó và thế chấp phải bổ sung tài sản bảo đảm để bảo đảm thực hiện phần nghĩa vụ chưa thực hiện;</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3. Nếu tiền xử lý tài sản thế chấp sau khi thanh toán theo khoản 1 Điều này vẫn còn thì Bên nhận thế chấp được phép giữ lại để thanh toán các khoản nợ đến hạn, sắp đến hạn hoặc đã quá hạn khác của Bên thế chấp tại Quỹ tín dụng nhân dân Thái Học (nếu có), nếu không có nghĩa vụ nào khác phải thanh toán thì Quỹ tín dụng nhân dân Thái Học chuyển trả cho Bên thế chấp.</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10: CAM ĐOAN CỦA CÁC BÊN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Các bên tham gia giao dịch chịu trách nhiệm trước pháp luật về những lời cam đoan sau đây: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Những thông tin về nhân thân, về thửa đất và tài sản gắn liền với đất đã ghi trong Hợp đồng này là đúng sự thật; Các tài sản thế chấp nêu tại Hợp đồng này hoàn toàn thuộc quyền sở hữu, sử dụng, quản lý hợp pháp của Bên thế chấp và theo quy định của pháp luật Bên thế chấp có toàn quyền sử dụng để thế chấp bảo đảm thực hiện nghĩa vụ cho Bên nhận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Các tài sản thế chấp nói trên hiện không sử dụng làm thế chấp, cầm cố dưới bất kỳ hình thức nào để đảm bảo cho bất kỳ một nghĩa vụ nào khác; không bị tranh chấp hoặc tiêm tàng khả năng tranh chấp về quyền sở hữu, sử dụng, quản lý.</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Các tài sản thế chấp không thuộc đối tượng bị trưng thu, trưng dụng; thu hồi; không bị kê biên để đảm bảo thi hành án, quyết định có hiệu lực của Tòa án, Trọng tài nhằm thực hiện nghĩa vụ của Bên cầm cố đối với bên thứ ba.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3. Không có bất kỳ thủ tục tố tụng, thủ tục trọng tài hoặc thủ tục xử lý hành chính nào đang diễn ra, đang chờ giải quyết hoặc đe doạ Bên thế chấp liên quan đến tài sản thế chấp có thể tác động đến tính hợp pháp, hợp lệ, giá trị ràng buộc hoặc hiệu lực thi hành Hợp đồng thế chấp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4. Việc giao kết Hợp đồng này hoàn toàn tự nguyện, không bị lừa dối, không bị ép buộc;</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11: HIỆU LỰC, SỐ BẢN HỢP ĐỒNG</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Hợp đồng này có hiệu lực kể từ thời điểm được công chứng và đăng ký giao dịch bảo đảm.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Hợp đồng này được lập thành 04 (bốn) bản chính, có giá trị pháp lý như nhau bằng tiếng Việt: Bên nhận thế chấp giữ 01 (một) bản, Phòng Công chứng số 2 thành phố Hải Phòng giữ 01 (một) bản, Chi nhánh văn phòng đăng ký đất đai Chí Linh 01 (một) bản, Bên thế chấp giữ 01 (một) bản.</w:t>
      </w:r>
    </w:p>
    <w:p w:rsidR="00B576A8" w:rsidRPr="00296A5D" w:rsidRDefault="00B576A8" w:rsidP="00AD55EB">
      <w:pPr>
        <w:jc w:val="both"/>
        <w:rPr>
          <w:rFonts w:ascii="Times New Roman" w:hAnsi="Times New Roman"/>
          <w:sz w:val="24"/>
        </w:rPr>
      </w:pP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BÊN THẾ CHẤP ( BÊN VAY VỐN )               QUỸ TÍN DỤNG NHÂN DÂN THÁI HỌC</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BÊN NHẬN THẾ CHẤP</w:t>
      </w:r>
    </w:p>
    <w:p w:rsidR="00B576A8" w:rsidRPr="00296A5D" w:rsidRDefault="00B576A8" w:rsidP="00AD55EB">
      <w:pPr>
        <w:rPr>
          <w:rFonts w:ascii="Times New Roman" w:hAnsi="Times New Roman"/>
          <w:i/>
          <w:sz w:val="24"/>
        </w:rPr>
      </w:pPr>
      <w:r w:rsidRPr="00296A5D">
        <w:rPr>
          <w:rFonts w:ascii="Times New Roman" w:hAnsi="Times New Roman"/>
          <w:i/>
          <w:sz w:val="24"/>
        </w:rPr>
        <w:t xml:space="preserve"/>
      </w:r>
      <w:r>
        <w:rPr>
          <w:rFonts w:ascii="Times New Roman" w:hAnsi="Times New Roman"/>
          <w:i/>
          <w:sz w:val="24"/>
        </w:rPr>
        <w:t xml:space="preserve">               (Ký, ghi rõ họ tên)                                                  ( Ký,ghi rõ họ tên, đóng dấu)</w:t>
      </w:r>
    </w:p>
    <w:p w:rsidR="001C5807" w:rsidRPr="001C5807" w:rsidRDefault="001C5807" w:rsidP="00296A5D">
      <w:pPr>
        <w:pStyle w:val="ListParagraph"/>
        <w:ind w:left="360"/>
        <w:jc w:val="center"/>
        <w:rPr>
          <w:rFonts w:ascii="Times New Roman" w:hAnsi="Times New Roman"/>
          <w:sz w:val="24"/>
        </w:rPr>
      </w:pPr>
    </w:p>
    <w:sectPr w:rsidR="001C5807" w:rsidRPr="001C5807" w:rsidSect="00E06A8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760CE"/>
    <w:multiLevelType w:val="hybridMultilevel"/>
    <w:tmpl w:val="0204A10A"/>
    <w:lvl w:ilvl="0" w:tplc="39A250E8">
      <w:numFmt w:val="bullet"/>
      <w:lvlText w:val="-"/>
      <w:lvlJc w:val="left"/>
      <w:pPr>
        <w:ind w:left="1080" w:hanging="360"/>
      </w:pPr>
      <w:rPr>
        <w:rFonts w:ascii="Times New Roman" w:eastAsiaTheme="minorHAnsi" w:hAnsi="Times New Roman" w:cs="Times New Roman" w:hint="default"/>
      </w:rPr>
    </w:lvl>
    <w:lvl w:ilvl="1" w:tplc="39A250E8">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3F41E5"/>
    <w:multiLevelType w:val="hybridMultilevel"/>
    <w:tmpl w:val="B8A65B54"/>
    <w:lvl w:ilvl="0" w:tplc="753277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C3177E"/>
    <w:multiLevelType w:val="hybridMultilevel"/>
    <w:tmpl w:val="F0080E36"/>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3569F"/>
    <w:multiLevelType w:val="hybridMultilevel"/>
    <w:tmpl w:val="9D900E18"/>
    <w:lvl w:ilvl="0" w:tplc="C8EEF8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EF43C7E"/>
    <w:multiLevelType w:val="hybridMultilevel"/>
    <w:tmpl w:val="E65CFE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BB7F39"/>
    <w:multiLevelType w:val="hybridMultilevel"/>
    <w:tmpl w:val="E47E5F66"/>
    <w:lvl w:ilvl="0" w:tplc="753277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6F53F49"/>
    <w:multiLevelType w:val="hybridMultilevel"/>
    <w:tmpl w:val="C9520328"/>
    <w:lvl w:ilvl="0" w:tplc="14462D3A">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7F17032"/>
    <w:multiLevelType w:val="hybridMultilevel"/>
    <w:tmpl w:val="82264A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D0907"/>
    <w:multiLevelType w:val="hybridMultilevel"/>
    <w:tmpl w:val="D90421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346857"/>
    <w:multiLevelType w:val="hybridMultilevel"/>
    <w:tmpl w:val="606A5730"/>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5180BCA"/>
    <w:multiLevelType w:val="hybridMultilevel"/>
    <w:tmpl w:val="B8842536"/>
    <w:lvl w:ilvl="0" w:tplc="18943B2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F4EB5"/>
    <w:multiLevelType w:val="hybridMultilevel"/>
    <w:tmpl w:val="DDEE8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35D5A"/>
    <w:multiLevelType w:val="hybridMultilevel"/>
    <w:tmpl w:val="B2B8D2B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5191F79"/>
    <w:multiLevelType w:val="hybridMultilevel"/>
    <w:tmpl w:val="4BDCB3A2"/>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8DF55FF"/>
    <w:multiLevelType w:val="hybridMultilevel"/>
    <w:tmpl w:val="6416F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CA602C"/>
    <w:multiLevelType w:val="hybridMultilevel"/>
    <w:tmpl w:val="6DD887C2"/>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32C00C2"/>
    <w:multiLevelType w:val="hybridMultilevel"/>
    <w:tmpl w:val="63A8B0A4"/>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8F3BDD"/>
    <w:multiLevelType w:val="hybridMultilevel"/>
    <w:tmpl w:val="94F63CA4"/>
    <w:lvl w:ilvl="0" w:tplc="4B022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1B563B"/>
    <w:multiLevelType w:val="hybridMultilevel"/>
    <w:tmpl w:val="BDBA23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961280F"/>
    <w:multiLevelType w:val="hybridMultilevel"/>
    <w:tmpl w:val="EA8220D0"/>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40E456E"/>
    <w:multiLevelType w:val="hybridMultilevel"/>
    <w:tmpl w:val="F300E52C"/>
    <w:lvl w:ilvl="0" w:tplc="861687D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E8779FA"/>
    <w:multiLevelType w:val="hybridMultilevel"/>
    <w:tmpl w:val="61F8F784"/>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07C098C"/>
    <w:multiLevelType w:val="hybridMultilevel"/>
    <w:tmpl w:val="C254A062"/>
    <w:lvl w:ilvl="0" w:tplc="39A250E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17"/>
  </w:num>
  <w:num w:numId="5">
    <w:abstractNumId w:val="1"/>
  </w:num>
  <w:num w:numId="6">
    <w:abstractNumId w:val="21"/>
  </w:num>
  <w:num w:numId="7">
    <w:abstractNumId w:val="8"/>
  </w:num>
  <w:num w:numId="8">
    <w:abstractNumId w:val="2"/>
  </w:num>
  <w:num w:numId="9">
    <w:abstractNumId w:val="16"/>
  </w:num>
  <w:num w:numId="10">
    <w:abstractNumId w:val="3"/>
  </w:num>
  <w:num w:numId="11">
    <w:abstractNumId w:val="14"/>
  </w:num>
  <w:num w:numId="12">
    <w:abstractNumId w:val="4"/>
  </w:num>
  <w:num w:numId="13">
    <w:abstractNumId w:val="18"/>
  </w:num>
  <w:num w:numId="14">
    <w:abstractNumId w:val="20"/>
  </w:num>
  <w:num w:numId="15">
    <w:abstractNumId w:val="15"/>
  </w:num>
  <w:num w:numId="16">
    <w:abstractNumId w:val="19"/>
  </w:num>
  <w:num w:numId="17">
    <w:abstractNumId w:val="5"/>
  </w:num>
  <w:num w:numId="18">
    <w:abstractNumId w:val="13"/>
  </w:num>
  <w:num w:numId="19">
    <w:abstractNumId w:val="9"/>
  </w:num>
  <w:num w:numId="20">
    <w:abstractNumId w:val="6"/>
  </w:num>
  <w:num w:numId="21">
    <w:abstractNumId w:val="7"/>
  </w:num>
  <w:num w:numId="22">
    <w:abstractNumId w:val="22"/>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195"/>
    <w:rsid w:val="0000448E"/>
    <w:rsid w:val="000D77D2"/>
    <w:rsid w:val="001411F4"/>
    <w:rsid w:val="001A2CE0"/>
    <w:rsid w:val="001C5807"/>
    <w:rsid w:val="00296A5D"/>
    <w:rsid w:val="003C6195"/>
    <w:rsid w:val="0040187F"/>
    <w:rsid w:val="004614C0"/>
    <w:rsid w:val="005214B5"/>
    <w:rsid w:val="005515E1"/>
    <w:rsid w:val="005541DE"/>
    <w:rsid w:val="00713114"/>
    <w:rsid w:val="009B5057"/>
    <w:rsid w:val="00A10818"/>
    <w:rsid w:val="00A915B3"/>
    <w:rsid w:val="00AD55EB"/>
    <w:rsid w:val="00B576A8"/>
    <w:rsid w:val="00BC2EA0"/>
    <w:rsid w:val="00BF7360"/>
    <w:rsid w:val="00CA5FFE"/>
    <w:rsid w:val="00D0217B"/>
    <w:rsid w:val="00D66184"/>
    <w:rsid w:val="00DC5037"/>
    <w:rsid w:val="00E06A80"/>
    <w:rsid w:val="00E920BA"/>
    <w:rsid w:val="00ED2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F2B52"/>
  <w15:chartTrackingRefBased/>
  <w15:docId w15:val="{052DF70F-B789-4091-82E4-0D1AD80C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8</Pages>
  <Words>2953</Words>
  <Characters>16834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2025-12-08T01:04:00Z</dcterms:created>
  <dc:creator>Admin</dc:creator>
  <cp:lastModifiedBy>Admin</cp:lastModifiedBy>
  <dcterms:modified xsi:type="dcterms:W3CDTF">2025-12-11T07:12:00Z</dcterms:modified>
  <cp:revision>24</cp:revision>
</cp:coreProperties>
</file>