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448E" w:rsidRDefault="003C6195" w:rsidP="003C6195">
      <w:pPr>
        <w:jc w:val="center"/>
        <w:rPr>
          <w:rFonts w:ascii="Times New Roman" w:hAnsi="Times New Roman"/>
          <w:b/>
          <w:sz w:val="24"/>
        </w:rPr>
      </w:pPr>
      <w:r>
        <w:rPr>
          <w:rFonts w:ascii="Times New Roman" w:hAnsi="Times New Roman"/>
          <w:b/>
          <w:sz w:val="24"/>
        </w:rPr>
        <w:t>CỘNG HÒA XÃ HỘI CHỦ NGHĨA VIỆT NAM</w:t>
      </w:r>
    </w:p>
    <w:p w:rsidR="003C6195" w:rsidRPr="0040187F" w:rsidRDefault="0040187F" w:rsidP="003C6195">
      <w:pPr>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column">
                  <wp:posOffset>1930400</wp:posOffset>
                </wp:positionH>
                <wp:positionV relativeFrom="paragraph">
                  <wp:posOffset>230505</wp:posOffset>
                </wp:positionV>
                <wp:extent cx="1835150" cy="6350"/>
                <wp:effectExtent l="0" t="0" r="31750" b="31750"/>
                <wp:wrapNone/>
                <wp:docPr id="1" name="Straight Connector 1"/>
                <wp:cNvGraphicFramePr/>
                <a:graphic xmlns:a="http://schemas.openxmlformats.org/drawingml/2006/main">
                  <a:graphicData uri="http://schemas.microsoft.com/office/word/2010/wordprocessingShape">
                    <wps:wsp>
                      <wps:cNvCnPr/>
                      <wps:spPr>
                        <a:xfrm flipV="1">
                          <a:off x="0" y="0"/>
                          <a:ext cx="18351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3132FF"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2pt,18.15pt" to="296.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3NawQEAANADAAAOAAAAZHJzL2Uyb0RvYy54bWysU01r3DAQvRfyH4TuWdsJCcGsN4cN7SW0&#10;S9PmrsijtUBfjJS19993JO+6pS2UhlyEPua9mfdmtL6frGEHwKi963izqjkDJ32v3b7j3799vLzj&#10;LCbhemG8g44fIfL7zcWH9RhauPKDNz0gIxIX2zF0fEgptFUV5QBWxJUP4OhRebQi0RH3VY9iJHZr&#10;qqu6vq1Gj31ALyFGun2YH/mm8CsFMn1RKkJipuNUWyorlvUlr9VmLdo9ijBoeSpDvKEKK7SjpAvV&#10;g0iCvaL+g8pqiT56lVbS28orpSUUDaSmqX9T8zSIAEULmRPDYlN8P1r5+bBDpnvqHWdOWGrRU0Kh&#10;90NiW+8cGeiRNdmnMcSWwrduh6dTDDvMoieFlimjw3OmyTckjE3F5ePiMkyJSbps7q5vmhtqhqS3&#10;22vaEV01s2RswJg+gbcsbzputMseiFYcHmOaQ88hhMtVzXWUXToayMHGfQVFunK+gi4TBVuD7CBo&#10;FoSU4FLRRalLdIYpbcwCrP8NPMVnKJRp+x/wgiiZvUsL2Grn8W/Z03QuWc3xZwdm3dmCF98fS4eK&#10;NTQ2xdzTiOe5/PVc4D8/4uYHAAAA//8DAFBLAwQUAAYACAAAACEA//Xidd0AAAAJAQAADwAAAGRy&#10;cy9kb3ducmV2LnhtbEyPQU/DMAyF70j7D5EncWPp1jFYaTohxs6IARLHrPHaQuJUSba1/x5zgpv9&#10;/PT8vXIzOCvOGGLnScF8loFAqr3pqFHw/ra7uQcRkyajrSdUMGKETTW5KnVh/IVe8bxPjeAQioVW&#10;0KbUF1LGukWn48z3SHw7+uB04jU00gR94XBn5SLLVtLpjvhDq3t8arH+3p+cgmib56/xY/TbhQnj&#10;dhc/8WW+VOp6Ojw+gEg4pD8z/OIzOlTMdPAnMlFYBXm25C6Jh1UOgg2365yFAwt3OciqlP8bVD8A&#10;AAD//wMAUEsBAi0AFAAGAAgAAAAhALaDOJL+AAAA4QEAABMAAAAAAAAAAAAAAAAAAAAAAFtDb250&#10;ZW50X1R5cGVzXS54bWxQSwECLQAUAAYACAAAACEAOP0h/9YAAACUAQAACwAAAAAAAAAAAAAAAAAv&#10;AQAAX3JlbHMvLnJlbHNQSwECLQAUAAYACAAAACEAICtzWsEBAADQAwAADgAAAAAAAAAAAAAAAAAu&#10;AgAAZHJzL2Uyb0RvYy54bWxQSwECLQAUAAYACAAAACEA//Xidd0AAAAJAQAADwAAAAAAAAAAAAAA&#10;AAAbBAAAZHJzL2Rvd25yZXYueG1sUEsFBgAAAAAEAAQA8wAAACUFAAAAAA==&#10;" strokecolor="#4579b8 [3044]"/>
            </w:pict>
          </mc:Fallback>
        </mc:AlternateContent>
      </w:r>
      <w:r w:rsidR="003C6195" w:rsidRPr="0040187F">
        <w:rPr>
          <w:rFonts w:ascii="Times New Roman" w:hAnsi="Times New Roman"/>
          <w:b/>
          <w:sz w:val="24"/>
        </w:rPr>
        <w:t>Độc lập – Tự do – Hạnh phúc</w:t>
      </w:r>
    </w:p>
    <w:p w:rsidR="003C6195" w:rsidRDefault="003C6195" w:rsidP="003C6195">
      <w:pPr>
        <w:jc w:val="center"/>
        <w:rPr>
          <w:rFonts w:ascii="Times New Roman" w:hAnsi="Times New Roman"/>
          <w:b/>
          <w:sz w:val="24"/>
        </w:rPr>
      </w:pPr>
    </w:p>
    <w:p w:rsidR="003C6195" w:rsidRDefault="003C6195" w:rsidP="003C6195">
      <w:pPr>
        <w:jc w:val="center"/>
        <w:rPr>
          <w:rFonts w:ascii="Times New Roman" w:hAnsi="Times New Roman"/>
          <w:b/>
          <w:sz w:val="24"/>
        </w:rPr>
      </w:pPr>
      <w:r>
        <w:rPr>
          <w:rFonts w:ascii="Times New Roman" w:hAnsi="Times New Roman"/>
          <w:b/>
          <w:sz w:val="24"/>
        </w:rPr>
        <w:t>HỢP ĐỒNG THẾ CHẤP QUYỀN SỬ DỤNG ĐẤT</w:t>
      </w:r>
    </w:p>
    <w:p w:rsidR="003C6195" w:rsidRDefault="003C6195" w:rsidP="003C6195">
      <w:pPr>
        <w:jc w:val="center"/>
        <w:rPr>
          <w:rFonts w:ascii="Times New Roman" w:hAnsi="Times New Roman"/>
          <w:sz w:val="24"/>
        </w:rPr>
      </w:pPr>
      <w:r>
        <w:rPr>
          <w:rFonts w:ascii="Times New Roman" w:hAnsi="Times New Roman"/>
          <w:sz w:val="24"/>
        </w:rPr>
        <w:t>Số: {{shdtc}}</w:t>
      </w:r>
    </w:p>
    <w:p w:rsidR="003C6195" w:rsidRDefault="003C6195" w:rsidP="003C6195">
      <w:pPr>
        <w:pStyle w:val="ListParagraph"/>
        <w:numPr>
          <w:ilvl w:val="0"/>
          <w:numId w:val="1"/>
        </w:numPr>
        <w:rPr>
          <w:rFonts w:ascii="Times New Roman" w:hAnsi="Times New Roman"/>
          <w:sz w:val="24"/>
        </w:rPr>
      </w:pPr>
      <w:r>
        <w:rPr>
          <w:rFonts w:ascii="Times New Roman" w:hAnsi="Times New Roman"/>
          <w:sz w:val="24"/>
        </w:rPr>
        <w:t>Căn cứ Bộ luật Dân sự nước Cộng hòa xã hội chủ nghĩ Việt Nam;</w:t>
      </w:r>
    </w:p>
    <w:p w:rsidR="003C6195" w:rsidRDefault="003C6195" w:rsidP="003C6195">
      <w:pPr>
        <w:pStyle w:val="ListParagraph"/>
        <w:numPr>
          <w:ilvl w:val="0"/>
          <w:numId w:val="1"/>
        </w:numPr>
        <w:rPr>
          <w:rFonts w:ascii="Times New Roman" w:hAnsi="Times New Roman"/>
          <w:sz w:val="24"/>
        </w:rPr>
      </w:pPr>
      <w:r>
        <w:rPr>
          <w:rFonts w:ascii="Times New Roman" w:hAnsi="Times New Roman"/>
          <w:sz w:val="24"/>
        </w:rPr>
        <w:t>Căn cứ giấy đề nghị vay vốn và theo thỏa thuận của các bên.</w:t>
      </w:r>
    </w:p>
    <w:p w:rsidR="003C6195" w:rsidRDefault="003C6195" w:rsidP="003C6195">
      <w:pPr>
        <w:ind w:firstLine="720"/>
        <w:rPr>
          <w:rFonts w:ascii="Times New Roman" w:hAnsi="Times New Roman"/>
          <w:sz w:val="24"/>
        </w:rPr>
      </w:pPr>
      <w:r w:rsidRPr="003C6195">
        <w:rPr>
          <w:rFonts w:ascii="Times New Roman" w:hAnsi="Times New Roman"/>
          <w:sz w:val="24"/>
        </w:rPr>
        <w:t>Hôm nay, ngày {{day}} tháng {{</w:t>
      </w:r>
      <w:r>
        <w:rPr>
          <w:rFonts w:ascii="Times New Roman" w:hAnsi="Times New Roman"/>
          <w:sz w:val="24"/>
        </w:rPr>
        <w:t>month}} năm {{year}} tại trụ sở Phòng Công chứng số 2 thành phố Hải Phòng chúng tôi gồm:</w:t>
      </w:r>
    </w:p>
    <w:p w:rsidR="00D0217B" w:rsidRDefault="003C6195" w:rsidP="003C6195">
      <w:pPr>
        <w:rPr>
          <w:rFonts w:ascii="Times New Roman" w:hAnsi="Times New Roman"/>
          <w:b/>
          <w:sz w:val="24"/>
        </w:rPr>
      </w:pPr>
      <w:r>
        <w:rPr>
          <w:rFonts w:ascii="Times New Roman" w:hAnsi="Times New Roman"/>
          <w:b/>
          <w:sz w:val="24"/>
        </w:rPr>
        <w:t>BÊN NHẬN THẾ CHẤP: QUỸ TÍN DỤNG NHÂN DÂN THÁI HỌC</w:t>
      </w:r>
    </w:p>
    <w:p w:rsidR="00E920BA" w:rsidRPr="00D0217B" w:rsidRDefault="00E920BA" w:rsidP="004614C0">
      <w:pPr>
        <w:ind w:firstLine="720"/>
        <w:rPr>
          <w:rFonts w:ascii="Times New Roman" w:hAnsi="Times New Roman"/>
          <w:sz w:val="24"/>
        </w:rPr>
      </w:pPr>
      <w:r>
        <w:rPr>
          <w:rFonts w:ascii="Times New Roman" w:hAnsi="Times New Roman"/>
          <w:sz w:val="24"/>
        </w:rPr>
        <w:t>Mã số danh nghiệp: 0800001806</w:t>
      </w:r>
    </w:p>
    <w:p w:rsidR="003C6195" w:rsidRDefault="003C6195" w:rsidP="003C6195">
      <w:pPr>
        <w:rPr>
          <w:rFonts w:ascii="Times New Roman" w:hAnsi="Times New Roman"/>
          <w:sz w:val="24"/>
        </w:rPr>
      </w:pPr>
      <w:r>
        <w:rPr>
          <w:rFonts w:ascii="Times New Roman" w:hAnsi="Times New Roman"/>
          <w:sz w:val="24"/>
        </w:rPr>
        <w:tab/>
        <w:t>Địa chỉ đăng ký: Số 178, Ninh Chấp 5, phường Chu Văn An, thành phố Hải Phòng.</w:t>
      </w:r>
    </w:p>
    <w:p w:rsidR="003C6195" w:rsidRDefault="003C6195" w:rsidP="003C6195">
      <w:pPr>
        <w:rPr>
          <w:rFonts w:ascii="Times New Roman" w:hAnsi="Times New Roman"/>
          <w:sz w:val="24"/>
        </w:rPr>
      </w:pPr>
      <w:r>
        <w:rPr>
          <w:rFonts w:ascii="Times New Roman" w:hAnsi="Times New Roman"/>
          <w:sz w:val="24"/>
        </w:rPr>
        <w:tab/>
        <w:t>Giấy chứng nhận đăng ký Hợp tác xã số: 251803 do sở Kế hoạc và Đầu tư tỉnh Hải Dương cấp lần đầu ngày 10 tháng 11 năm 1998.</w:t>
      </w:r>
    </w:p>
    <w:p w:rsidR="003C6195" w:rsidRDefault="003C6195" w:rsidP="003C6195">
      <w:pPr>
        <w:rPr>
          <w:rFonts w:ascii="Times New Roman" w:hAnsi="Times New Roman"/>
          <w:sz w:val="24"/>
        </w:rPr>
      </w:pPr>
      <w:r>
        <w:rPr>
          <w:rFonts w:ascii="Times New Roman" w:hAnsi="Times New Roman"/>
          <w:sz w:val="24"/>
        </w:rPr>
        <w:tab/>
        <w:t>Người đại diệ</w:t>
      </w:r>
      <w:r w:rsidR="005541DE">
        <w:rPr>
          <w:rFonts w:ascii="Times New Roman" w:hAnsi="Times New Roman"/>
          <w:sz w:val="24"/>
        </w:rPr>
        <w:t>n</w:t>
      </w:r>
      <w:bookmarkStart w:id="0" w:name="_GoBack"/>
      <w:bookmarkEnd w:id="0"/>
      <w:r>
        <w:rPr>
          <w:rFonts w:ascii="Times New Roman" w:hAnsi="Times New Roman"/>
          <w:sz w:val="24"/>
        </w:rPr>
        <w:t>: {{gd}}</w:t>
      </w:r>
    </w:p>
    <w:p w:rsidR="003C6195" w:rsidRDefault="003C6195" w:rsidP="003C6195">
      <w:pPr>
        <w:rPr>
          <w:rFonts w:ascii="Times New Roman" w:hAnsi="Times New Roman"/>
          <w:sz w:val="24"/>
        </w:rPr>
      </w:pPr>
      <w:r>
        <w:rPr>
          <w:rFonts w:ascii="Times New Roman" w:hAnsi="Times New Roman"/>
          <w:sz w:val="24"/>
        </w:rPr>
        <w:tab/>
        <w:t>Sinh năm: 1982; Số CCCD: 030182016564; Cấp ngày: 22/12/2021; Nơi cấp: Cục cảnh sát quản lý hành chính về trật tự xã hội.</w:t>
      </w:r>
    </w:p>
    <w:p w:rsidR="003C6195" w:rsidRDefault="003C6195" w:rsidP="003C6195">
      <w:pPr>
        <w:rPr>
          <w:rFonts w:ascii="Times New Roman" w:hAnsi="Times New Roman"/>
          <w:b/>
          <w:sz w:val="24"/>
        </w:rPr>
      </w:pPr>
      <w:r>
        <w:rPr>
          <w:rFonts w:ascii="Times New Roman" w:hAnsi="Times New Roman"/>
          <w:b/>
          <w:sz w:val="24"/>
        </w:rPr>
        <w:t>BÊN THẾ CHẤP (BÊN VAY VỐN):</w:t>
      </w:r>
    </w:p>
    <w:p w:rsidR="003C6195" w:rsidRDefault="003C6195" w:rsidP="003C6195">
      <w:pPr>
        <w:rPr>
          <w:rFonts w:ascii="Times New Roman" w:hAnsi="Times New Roman"/>
          <w:sz w:val="24"/>
        </w:rPr>
      </w:pPr>
      <w:r>
        <w:rPr>
          <w:rFonts w:ascii="Times New Roman" w:hAnsi="Times New Roman"/>
          <w:sz w:val="24"/>
        </w:rPr>
        <w:tab/>
        <w:t>Ông (Bà): {{kh}}; Sinh ngày: {{nskh}}; Số điện thoại: {{sdtkh}}.</w:t>
      </w:r>
    </w:p>
    <w:p w:rsidR="003C6195" w:rsidRDefault="003C6195" w:rsidP="003C6195">
      <w:pPr>
        <w:rPr>
          <w:rFonts w:ascii="Times New Roman" w:hAnsi="Times New Roman"/>
          <w:sz w:val="24"/>
        </w:rPr>
      </w:pPr>
      <w:r>
        <w:rPr>
          <w:rFonts w:ascii="Times New Roman" w:hAnsi="Times New Roman"/>
          <w:sz w:val="24"/>
        </w:rPr>
        <w:tab/>
        <w:t>CCCD số: {{cccdkh}}; Ngày cấp: {{nckh}}; Nơi cấp: Cục cảnh sát QLHC về TTXH.</w:t>
      </w:r>
    </w:p>
    <w:p w:rsidR="003C6195" w:rsidRDefault="003C6195" w:rsidP="003C6195">
      <w:pPr>
        <w:rPr>
          <w:rFonts w:ascii="Times New Roman" w:hAnsi="Times New Roman"/>
          <w:sz w:val="24"/>
        </w:rPr>
      </w:pPr>
      <w:r>
        <w:rPr>
          <w:rFonts w:ascii="Times New Roman" w:hAnsi="Times New Roman"/>
          <w:sz w:val="24"/>
        </w:rPr>
        <w:tab/>
        <w:t>Địa chỉ thường chú: {{ttkh}}.</w:t>
      </w:r>
    </w:p>
    <w:p w:rsidR="003C6195" w:rsidRDefault="003C6195" w:rsidP="003C6195">
      <w:pPr>
        <w:rPr>
          <w:rFonts w:ascii="Times New Roman" w:hAnsi="Times New Roman"/>
          <w:sz w:val="24"/>
        </w:rPr>
      </w:pPr>
      <w:r>
        <w:rPr>
          <w:rFonts w:ascii="Times New Roman" w:hAnsi="Times New Roman"/>
          <w:sz w:val="24"/>
        </w:rPr>
        <w:tab/>
      </w:r>
      <w:r w:rsidR="005515E1">
        <w:rPr>
          <w:rFonts w:ascii="Times New Roman" w:hAnsi="Times New Roman"/>
          <w:sz w:val="24"/>
        </w:rPr>
        <w:t xml:space="preserve">Và </w:t>
      </w:r>
      <w:r w:rsidR="00D66184">
        <w:rPr>
          <w:rFonts w:ascii="Times New Roman" w:hAnsi="Times New Roman"/>
          <w:sz w:val="24"/>
        </w:rPr>
        <w:t>{{</w:t>
      </w:r>
      <w:r w:rsidR="005515E1">
        <w:rPr>
          <w:rFonts w:ascii="Times New Roman" w:hAnsi="Times New Roman"/>
          <w:sz w:val="24"/>
        </w:rPr>
        <w:t>gtnt</w:t>
      </w:r>
      <w:r w:rsidR="00D66184">
        <w:rPr>
          <w:rFonts w:ascii="Times New Roman" w:hAnsi="Times New Roman"/>
          <w:sz w:val="24"/>
        </w:rPr>
        <w:t>}}</w:t>
      </w:r>
      <w:r w:rsidR="00BF7360">
        <w:rPr>
          <w:rFonts w:ascii="Times New Roman" w:hAnsi="Times New Roman"/>
          <w:sz w:val="24"/>
        </w:rPr>
        <w:t>:</w:t>
      </w:r>
      <w:r w:rsidR="00D66184">
        <w:rPr>
          <w:rFonts w:ascii="Times New Roman" w:hAnsi="Times New Roman"/>
          <w:sz w:val="24"/>
        </w:rPr>
        <w:t xml:space="preserve"> </w:t>
      </w:r>
      <w:r>
        <w:rPr>
          <w:rFonts w:ascii="Times New Roman" w:hAnsi="Times New Roman"/>
          <w:sz w:val="24"/>
        </w:rPr>
        <w:t>{{ntkh}}; Sinh ngày: {{nsnt}}.</w:t>
      </w:r>
    </w:p>
    <w:p w:rsidR="003C6195" w:rsidRDefault="003C6195" w:rsidP="003C6195">
      <w:pPr>
        <w:rPr>
          <w:rFonts w:ascii="Times New Roman" w:hAnsi="Times New Roman"/>
          <w:sz w:val="24"/>
        </w:rPr>
      </w:pPr>
      <w:r>
        <w:rPr>
          <w:rFonts w:ascii="Times New Roman" w:hAnsi="Times New Roman"/>
          <w:sz w:val="24"/>
        </w:rPr>
        <w:tab/>
        <w:t>CCCD số: {{cccdnt}}; Cấp ngày: {{ncnt}}; Nơi cấp: Cục cảnh sát</w:t>
      </w:r>
      <w:r w:rsidR="001C5807">
        <w:rPr>
          <w:rFonts w:ascii="Times New Roman" w:hAnsi="Times New Roman"/>
          <w:sz w:val="24"/>
        </w:rPr>
        <w:t xml:space="preserve"> QLHC về TTXH.</w:t>
      </w:r>
    </w:p>
    <w:p w:rsidR="001C5807" w:rsidRDefault="001C5807" w:rsidP="003C6195">
      <w:pPr>
        <w:rPr>
          <w:rFonts w:ascii="Times New Roman" w:hAnsi="Times New Roman"/>
          <w:sz w:val="24"/>
        </w:rPr>
      </w:pPr>
      <w:r>
        <w:rPr>
          <w:rFonts w:ascii="Times New Roman" w:hAnsi="Times New Roman"/>
          <w:sz w:val="24"/>
        </w:rPr>
        <w:tab/>
        <w:t>Địa chỉ thường trú: {{ttnt}}.</w:t>
      </w:r>
    </w:p>
    <w:p w:rsidR="001C5807" w:rsidRDefault="001C5807" w:rsidP="003C6195">
      <w:pPr>
        <w:rPr>
          <w:rFonts w:ascii="Times New Roman" w:hAnsi="Times New Roman"/>
          <w:b/>
          <w:i/>
          <w:sz w:val="24"/>
        </w:rPr>
      </w:pPr>
      <w:r>
        <w:rPr>
          <w:rFonts w:ascii="Times New Roman" w:hAnsi="Times New Roman"/>
          <w:sz w:val="24"/>
        </w:rPr>
        <w:tab/>
      </w:r>
      <w:r>
        <w:rPr>
          <w:rFonts w:ascii="Times New Roman" w:hAnsi="Times New Roman"/>
          <w:b/>
          <w:i/>
          <w:sz w:val="24"/>
        </w:rPr>
        <w:t>Hai bên thỏa thuận ký hợp đồng thế chấp theo các điều khoản sau:</w:t>
      </w:r>
    </w:p>
    <w:p w:rsidR="001C5807" w:rsidRDefault="001C5807" w:rsidP="001C5807">
      <w:pPr>
        <w:jc w:val="center"/>
        <w:rPr>
          <w:rFonts w:ascii="Times New Roman" w:hAnsi="Times New Roman"/>
          <w:b/>
          <w:sz w:val="24"/>
        </w:rPr>
      </w:pPr>
      <w:r>
        <w:rPr>
          <w:rFonts w:ascii="Times New Roman" w:hAnsi="Times New Roman"/>
          <w:b/>
          <w:sz w:val="24"/>
        </w:rPr>
        <w:t>ĐIỀU 1: NGHĨA VỤ ĐƯỢC BẢO ĐẢM</w:t>
      </w:r>
    </w:p>
    <w:p w:rsidR="001C5807" w:rsidRPr="00E06A80" w:rsidRDefault="001C5807" w:rsidP="00E06A80">
      <w:pPr>
        <w:pStyle w:val="ListParagraph"/>
        <w:numPr>
          <w:ilvl w:val="0"/>
          <w:numId w:val="7"/>
        </w:numPr>
        <w:rPr>
          <w:rFonts w:ascii="Times New Roman" w:hAnsi="Times New Roman"/>
          <w:sz w:val="24"/>
        </w:rPr>
      </w:pPr>
      <w:r w:rsidRPr="00E06A80">
        <w:rPr>
          <w:rFonts w:ascii="Times New Roman" w:hAnsi="Times New Roman"/>
          <w:sz w:val="24"/>
        </w:rPr>
        <w:t xml:space="preserve">Bên thế chấp đồng ý thế chấp quyền sử dụng đất, tài sản gắn liền với đất và các tài sản thế chấp khác của mình tại Điều 2, Hợp đồng này để đảm bảo việc thực hiện nghĩa vụ trả nợ của bên vay vốn với Qũy tín dụng nhân dân Thái Học phát sinh theo Hợp đồng tín dụng và các Phụ lục Hợp đồng đính kèm được ký kết giữa Bên nhận thế chấp và Bên vay vốn </w:t>
      </w:r>
      <w:r w:rsidRPr="00E06A80">
        <w:rPr>
          <w:rFonts w:ascii="Times New Roman" w:hAnsi="Times New Roman"/>
          <w:sz w:val="24"/>
        </w:rPr>
        <w:lastRenderedPageBreak/>
        <w:t>để đảm bảo cho toàn bộ nghĩa vụ trả nợ hiện tại và nghĩa vụ trả nợ phát sinh trong tương lai theo luật dân sự. Tổng dư nợ các khoản vay vốn tối đa không vượt quá 70% giá trị tài sản đảm bảo.</w:t>
      </w:r>
    </w:p>
    <w:p w:rsidR="001C5807" w:rsidRPr="00E06A80" w:rsidRDefault="001C5807" w:rsidP="00E06A80">
      <w:pPr>
        <w:pStyle w:val="ListParagraph"/>
        <w:numPr>
          <w:ilvl w:val="0"/>
          <w:numId w:val="7"/>
        </w:numPr>
        <w:rPr>
          <w:rFonts w:ascii="Times New Roman" w:hAnsi="Times New Roman"/>
          <w:sz w:val="24"/>
        </w:rPr>
      </w:pPr>
      <w:r w:rsidRPr="00E06A80">
        <w:rPr>
          <w:rFonts w:ascii="Times New Roman" w:hAnsi="Times New Roman"/>
          <w:sz w:val="24"/>
        </w:rPr>
        <w:t>Mức dư nợ khoản vay vốn của Bên thế chấp (bên vay vốn) với Quỹ tín dụng nhân dân Thái Học (bên nhận thế chấp) giữa hai bên ký kết là: {{tienso}} đồng; Bằng chữ ({{</w:t>
      </w:r>
      <w:r w:rsidRPr="00E06A80">
        <w:rPr>
          <w:rFonts w:ascii="Times New Roman" w:hAnsi="Times New Roman"/>
          <w:i/>
          <w:sz w:val="24"/>
        </w:rPr>
        <w:t>tc</w:t>
      </w:r>
      <w:r w:rsidRPr="00E06A80">
        <w:rPr>
          <w:rFonts w:ascii="Times New Roman" w:hAnsi="Times New Roman"/>
          <w:sz w:val="24"/>
        </w:rPr>
        <w:t>}}</w:t>
      </w:r>
      <w:r w:rsidR="009B5057">
        <w:rPr>
          <w:rFonts w:ascii="Times New Roman" w:hAnsi="Times New Roman"/>
          <w:sz w:val="24"/>
        </w:rPr>
        <w:t>)</w:t>
      </w:r>
      <w:r w:rsidRPr="00E06A80">
        <w:rPr>
          <w:rFonts w:ascii="Times New Roman" w:hAnsi="Times New Roman"/>
          <w:sz w:val="24"/>
        </w:rPr>
        <w:t xml:space="preserve"> </w:t>
      </w:r>
      <w:r w:rsidRPr="00E06A80">
        <w:rPr>
          <w:rFonts w:ascii="Times New Roman" w:hAnsi="Times New Roman"/>
          <w:i/>
          <w:sz w:val="24"/>
        </w:rPr>
        <w:t>tiền Việt Nam hiện hành.</w:t>
      </w:r>
    </w:p>
    <w:p w:rsidR="001C5807" w:rsidRDefault="001C5807" w:rsidP="001C5807">
      <w:pPr>
        <w:pStyle w:val="ListParagraph"/>
        <w:jc w:val="center"/>
        <w:rPr>
          <w:rFonts w:ascii="Times New Roman" w:hAnsi="Times New Roman"/>
          <w:b/>
          <w:sz w:val="24"/>
        </w:rPr>
      </w:pPr>
      <w:r>
        <w:rPr>
          <w:rFonts w:ascii="Times New Roman" w:hAnsi="Times New Roman"/>
          <w:b/>
          <w:sz w:val="24"/>
        </w:rPr>
        <w:t>ĐIỀU 2: TÀI SẢN THẾ CHẤP</w:t>
      </w:r>
    </w:p>
    <w:p w:rsidR="001C5807" w:rsidRPr="00E06A80" w:rsidRDefault="001C5807" w:rsidP="00E06A80">
      <w:pPr>
        <w:pStyle w:val="ListParagraph"/>
        <w:numPr>
          <w:ilvl w:val="0"/>
          <w:numId w:val="19"/>
        </w:numPr>
        <w:ind w:left="360"/>
        <w:rPr>
          <w:rFonts w:ascii="Times New Roman" w:hAnsi="Times New Roman"/>
          <w:b/>
          <w:sz w:val="24"/>
        </w:rPr>
      </w:pPr>
      <w:r w:rsidRPr="00E06A80">
        <w:rPr>
          <w:rFonts w:ascii="Times New Roman" w:hAnsi="Times New Roman"/>
          <w:b/>
          <w:sz w:val="24"/>
        </w:rPr>
        <w:t>Tài sả</w:t>
      </w:r>
      <w:r w:rsidR="00BC2EA0" w:rsidRPr="00E06A80">
        <w:rPr>
          <w:rFonts w:ascii="Times New Roman" w:hAnsi="Times New Roman"/>
          <w:b/>
          <w:sz w:val="24"/>
        </w:rPr>
        <w:t>n thế</w:t>
      </w:r>
      <w:r w:rsidRPr="00E06A80">
        <w:rPr>
          <w:rFonts w:ascii="Times New Roman" w:hAnsi="Times New Roman"/>
          <w:b/>
          <w:sz w:val="24"/>
        </w:rPr>
        <w:t xml:space="preserve"> chấp:</w:t>
      </w:r>
    </w:p>
    <w:p w:rsidR="001C5807" w:rsidRDefault="001C5807" w:rsidP="00DC5037">
      <w:pPr>
        <w:pStyle w:val="ListParagraph"/>
        <w:ind w:left="0" w:firstLine="360"/>
        <w:rPr>
          <w:rFonts w:ascii="Times New Roman" w:hAnsi="Times New Roman"/>
          <w:sz w:val="24"/>
        </w:rPr>
      </w:pPr>
      <w:r>
        <w:rPr>
          <w:rFonts w:ascii="Times New Roman" w:hAnsi="Times New Roman"/>
          <w:sz w:val="24"/>
        </w:rPr>
        <w:t xml:space="preserve">Là Quyền sử dụng đất của Bên thế chấp được xác </w:t>
      </w:r>
      <w:r w:rsidR="00BC2EA0">
        <w:rPr>
          <w:rFonts w:ascii="Times New Roman" w:hAnsi="Times New Roman"/>
          <w:sz w:val="24"/>
        </w:rPr>
        <w:t xml:space="preserve">lập theo Giấy chứng nhận Quyền sử dụng đất số {{seri}} do {{nc}} cấp ngày {{ngc}}, </w:t>
      </w:r>
      <w:r w:rsidR="00AD55EB" w:rsidRPr="00AD55EB">
        <w:rPr>
          <w:rFonts w:ascii="Times New Roman" w:hAnsi="Times New Roman"/>
          <w:sz w:val="24"/>
        </w:rPr>
        <w:t xml:space="preserve">Vào sổ cấp giấy chứng nhận quyền sử dụng đất số: </w:t>
      </w:r>
      <w:r w:rsidR="00BC2EA0" w:rsidRPr="00AD55EB">
        <w:rPr>
          <w:rFonts w:ascii="Times New Roman" w:hAnsi="Times New Roman"/>
          <w:sz w:val="24"/>
        </w:rPr>
        <w:t>{{</w:t>
      </w:r>
      <w:r w:rsidR="00BC2EA0">
        <w:rPr>
          <w:rFonts w:ascii="Times New Roman" w:hAnsi="Times New Roman"/>
          <w:sz w:val="24"/>
        </w:rPr>
        <w:t>vsmt}}</w:t>
      </w:r>
      <w:r w:rsidR="000D77D2">
        <w:rPr>
          <w:rFonts w:ascii="Times New Roman" w:hAnsi="Times New Roman"/>
          <w:sz w:val="24"/>
        </w:rPr>
        <w:t xml:space="preserve"> mang tên {{gtkh}}</w:t>
      </w:r>
      <w:r w:rsidR="00BC2EA0">
        <w:rPr>
          <w:rFonts w:ascii="Times New Roman" w:hAnsi="Times New Roman"/>
          <w:sz w:val="24"/>
        </w:rPr>
        <w:t xml:space="preserve"> {{kh}} cụ thể như sau:</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Thửa đất số: {{std}}; tờ bản đồ: {{sbd}}.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Địa chỉ thửa đất: {{dctd}}.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Diện tích: {{dt}}m2 Bằng chữ: ({{dtc}} mét vuông)</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Hình thức sử dụng: {{htsd}}.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Mục đích sử dụng: {{mdsd}}.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Thời hạn sử dụng đất: {{thsd}}.</w:t>
      </w:r>
    </w:p>
    <w:p w:rsidR="00A10818" w:rsidRPr="00DC5037" w:rsidRDefault="00A10818" w:rsidP="00DC5037">
      <w:pPr>
        <w:pStyle w:val="ListParagraph"/>
        <w:numPr>
          <w:ilvl w:val="0"/>
          <w:numId w:val="19"/>
        </w:numPr>
        <w:ind w:left="360"/>
        <w:rPr>
          <w:rFonts w:ascii="Times New Roman" w:hAnsi="Times New Roman"/>
          <w:b/>
          <w:sz w:val="24"/>
        </w:rPr>
      </w:pPr>
      <w:r w:rsidRPr="00DC5037">
        <w:rPr>
          <w:rFonts w:ascii="Times New Roman" w:hAnsi="Times New Roman"/>
          <w:b/>
          <w:sz w:val="24"/>
        </w:rPr>
        <w:t>Tài sản gắn liền với đất:</w:t>
      </w:r>
    </w:p>
    <w:p w:rsidR="00A10818" w:rsidRDefault="00A10818" w:rsidP="00DC5037">
      <w:pPr>
        <w:pStyle w:val="ListParagraph"/>
        <w:ind w:left="0" w:firstLine="360"/>
        <w:rPr>
          <w:rFonts w:ascii="Times New Roman" w:hAnsi="Times New Roman"/>
          <w:sz w:val="24"/>
        </w:rPr>
      </w:pPr>
      <w:r>
        <w:rPr>
          <w:rFonts w:ascii="Times New Roman" w:hAnsi="Times New Roman"/>
          <w:sz w:val="24"/>
        </w:rPr>
        <w:t>Đã được thỏa thuận tại Điều 4 của Hợp đồng này.</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Toàn bộ tải sản đã, đang và sẽ hình thành trong tương lai gắn liền trên quyền sử dụng đất nêu tại điều này cũng thuộc tài sản thế chấp theo Hợp đồng này.</w:t>
      </w:r>
    </w:p>
    <w:p w:rsidR="00A10818" w:rsidRPr="00DC5037" w:rsidRDefault="00A10818" w:rsidP="00DC5037">
      <w:pPr>
        <w:pStyle w:val="ListParagraph"/>
        <w:numPr>
          <w:ilvl w:val="0"/>
          <w:numId w:val="19"/>
        </w:numPr>
        <w:ind w:left="360"/>
        <w:rPr>
          <w:rFonts w:ascii="Times New Roman" w:hAnsi="Times New Roman"/>
          <w:b/>
          <w:sz w:val="24"/>
        </w:rPr>
      </w:pPr>
      <w:r w:rsidRPr="00DC5037">
        <w:rPr>
          <w:rFonts w:ascii="Times New Roman" w:hAnsi="Times New Roman"/>
          <w:b/>
          <w:sz w:val="24"/>
        </w:rPr>
        <w:t>Giá trị tài sản:</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Tổng giá trị tài sản là tổng số tiền ghi trong biên bản định giá tài sản.</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Việc định giá tài sản được ghi trong Biên bản định giá số {{bbdg}} ngày {{day}}/{{month}}/{{year}} với giá trị tài sản được xác định tại thời điểm hiện tại; giá trị tài sản sẽ được xác định lại trong các biên bản định giá lại tài sản;</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Biên bản định giá và các biên bản định giá lại tài sản là bộ phận không tách rời của Hợp đồng này.</w:t>
      </w:r>
    </w:p>
    <w:p w:rsidR="00A10818" w:rsidRDefault="00A10818" w:rsidP="00A10818">
      <w:pPr>
        <w:pStyle w:val="ListParagraph"/>
        <w:jc w:val="center"/>
        <w:rPr>
          <w:rFonts w:ascii="Times New Roman" w:hAnsi="Times New Roman"/>
          <w:b/>
          <w:sz w:val="24"/>
        </w:rPr>
      </w:pPr>
      <w:r>
        <w:rPr>
          <w:rFonts w:ascii="Times New Roman" w:hAnsi="Times New Roman"/>
          <w:b/>
          <w:sz w:val="24"/>
        </w:rPr>
        <w:t>ĐIỀU 3: THỜI HẠN THẾ CHẤP TÀI SẢN</w:t>
      </w:r>
    </w:p>
    <w:p w:rsidR="00A10818" w:rsidRPr="00E06A80" w:rsidRDefault="00E06A80" w:rsidP="00E06A80">
      <w:pPr>
        <w:pStyle w:val="ListParagraph"/>
        <w:numPr>
          <w:ilvl w:val="0"/>
          <w:numId w:val="17"/>
        </w:numPr>
        <w:rPr>
          <w:rFonts w:ascii="Times New Roman" w:hAnsi="Times New Roman"/>
          <w:sz w:val="24"/>
        </w:rPr>
      </w:pPr>
      <w:r w:rsidRPr="00E06A80">
        <w:rPr>
          <w:rFonts w:ascii="Times New Roman" w:hAnsi="Times New Roman"/>
          <w:sz w:val="24"/>
        </w:rPr>
        <w:t>Việc thế chấp tài sản tại Điều 2 theo Hợp đồng này có hiệu lực và kết thúc khi bên thế chấp (Bên vay vốn) hoàn thành các nghĩa vụ theo Hợp đồng tín dụng và các phụ lục đính kèm đã ký kết với bên nhận thế chấp (Quỹ tín dụng nhân dân Thái Học).</w:t>
      </w:r>
    </w:p>
    <w:p w:rsidR="00E06A80" w:rsidRDefault="00E06A80" w:rsidP="00E06A80">
      <w:pPr>
        <w:pStyle w:val="ListParagraph"/>
        <w:ind w:left="1080"/>
        <w:jc w:val="center"/>
        <w:rPr>
          <w:rFonts w:ascii="Times New Roman" w:hAnsi="Times New Roman"/>
          <w:b/>
          <w:sz w:val="24"/>
        </w:rPr>
      </w:pPr>
      <w:r>
        <w:rPr>
          <w:rFonts w:ascii="Times New Roman" w:hAnsi="Times New Roman"/>
          <w:b/>
          <w:sz w:val="24"/>
        </w:rPr>
        <w:t>ĐIỀU 4: CÁC THỎA THUẬN VỀ QUYỀN SỞ HỮU TÀI SẢN GẮN LIỀN VỚI ĐẤT</w:t>
      </w:r>
    </w:p>
    <w:p w:rsidR="00E06A80" w:rsidRPr="00296A5D" w:rsidRDefault="00E06A80" w:rsidP="00E06A80">
      <w:pPr>
        <w:pStyle w:val="ListParagraph"/>
        <w:numPr>
          <w:ilvl w:val="0"/>
          <w:numId w:val="14"/>
        </w:numPr>
        <w:rPr>
          <w:rFonts w:ascii="Times New Roman" w:hAnsi="Times New Roman"/>
          <w:b/>
          <w:sz w:val="24"/>
        </w:rPr>
      </w:pPr>
      <w:r w:rsidRPr="00E06A80">
        <w:rPr>
          <w:rFonts w:ascii="Times New Roman" w:hAnsi="Times New Roman"/>
          <w:sz w:val="24"/>
        </w:rPr>
        <w:t>D</w:t>
      </w:r>
      <w:r>
        <w:rPr>
          <w:rFonts w:ascii="Times New Roman" w:hAnsi="Times New Roman"/>
          <w:sz w:val="24"/>
        </w:rPr>
        <w:t>o tài sản gắn liền với đất chưa được cấp giấy chứng minh quyền sở hữu tài sản nên Bên thế chấp (bên vay vốn) đồng ý, tự nguyện kê khai những tài sản gắn liền với đất để bên nhận thế chấp (Quỹ tín dụng nhân dân Thái Học) định giá tài sản</w:t>
      </w:r>
      <w:r w:rsidR="00296A5D">
        <w:rPr>
          <w:rFonts w:ascii="Times New Roman" w:hAnsi="Times New Roman"/>
          <w:sz w:val="24"/>
        </w:rPr>
        <w:t xml:space="preserve"> gắn liền với đất trên thửa số: {{std}} tờ bản đồ số: {{sbd}} {{ndtt}} {{dt}} m</w:t>
      </w:r>
      <w:r w:rsidR="00296A5D">
        <w:rPr>
          <w:rFonts w:ascii="Times New Roman" w:hAnsi="Times New Roman"/>
          <w:sz w:val="24"/>
          <w:vertAlign w:val="superscript"/>
        </w:rPr>
        <w:t>2</w:t>
      </w:r>
      <w:r w:rsidR="00296A5D">
        <w:rPr>
          <w:rFonts w:ascii="Times New Roman" w:hAnsi="Times New Roman"/>
          <w:sz w:val="24"/>
        </w:rPr>
        <w:t xml:space="preserve">. </w:t>
      </w:r>
    </w:p>
    <w:p w:rsidR="00296A5D" w:rsidRPr="00296A5D" w:rsidRDefault="00296A5D" w:rsidP="00E06A80">
      <w:pPr>
        <w:pStyle w:val="ListParagraph"/>
        <w:numPr>
          <w:ilvl w:val="0"/>
          <w:numId w:val="14"/>
        </w:numPr>
        <w:rPr>
          <w:rFonts w:ascii="Times New Roman" w:hAnsi="Times New Roman"/>
          <w:b/>
          <w:sz w:val="24"/>
        </w:rPr>
      </w:pPr>
      <w:r>
        <w:rPr>
          <w:rFonts w:ascii="Times New Roman" w:hAnsi="Times New Roman"/>
          <w:sz w:val="24"/>
        </w:rPr>
        <w:t>Trong trường hợp đến hạn trả nợ mà Bên thế chấp (bên vay vốn) không trả được nợ phải xử lý tài sản thế chấp thì tài sản gắn liền với đất được xử lý đồng thời với quyền sử dụng đất.</w:t>
      </w:r>
    </w:p>
    <w:p w:rsidR="00B576A8" w:rsidRPr="00296A5D" w:rsidRDefault="00B576A8" w:rsidP="00A915B3">
      <w:pPr>
        <w:jc w:val="center"/>
        <w:rPr>
          <w:rFonts w:ascii="Times New Roman" w:hAnsi="Times New Roman"/>
          <w:b/>
          <w:bCs/>
          <w:sz w:val="24"/>
        </w:rPr>
      </w:pPr>
      <w:r w:rsidRPr="00296A5D">
        <w:rPr>
          <w:rFonts w:ascii="Times New Roman" w:hAnsi="Times New Roman"/>
          <w:b/>
          <w:bCs/>
          <w:sz w:val="24"/>
        </w:rPr>
        <w:t>ĐIỀU 5: QUYỀN VÀ NGHĨA VỤ CỦA BÊN THẾ CHẤP ( BÊN VAY VỐN )</w:t>
      </w:r>
    </w:p>
    <w:p w:rsidR="00B576A8" w:rsidRPr="00296A5D" w:rsidRDefault="00B576A8" w:rsidP="00AD55EB">
      <w:pPr>
        <w:ind w:hanging="108"/>
        <w:jc w:val="both"/>
        <w:rPr>
          <w:rFonts w:ascii="Times New Roman" w:hAnsi="Times New Roman"/>
          <w:b/>
          <w:bCs/>
          <w:sz w:val="24"/>
        </w:rPr>
      </w:pPr>
      <w:r w:rsidRPr="00296A5D">
        <w:rPr>
          <w:rFonts w:ascii="Times New Roman" w:hAnsi="Times New Roman"/>
          <w:b/>
          <w:bCs/>
          <w:sz w:val="24"/>
        </w:rPr>
        <w:lastRenderedPageBreak/>
        <w:t>1. Quyền của Bên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Được khai thác công dụng, hưởng hoa lợi lợi tức từ tài sản.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Được đầu tư làm tăng giá trị tài sản thế chấp. Giá trị tăng thêm cũng thuộc tài sản thế chấp nêu tại Điều 2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Nhận lại giấy tờ gốc chứng nhận về quyền sở hữu, sử dụng, quản lý tài sản thế chấp đã giao cho Bên nhận thế chấp tại Điều 2 hợp đồng này sau khi thực hiện xong nghĩa vụ của mình đối với Bên nhận thế chấp, hoặc thay thế bằng biện pháp bảo đảm khác hoặc thay thế bằng tài sản bảo đảm khác.</w:t>
      </w:r>
    </w:p>
    <w:p w:rsidR="00B576A8" w:rsidRPr="00296A5D" w:rsidRDefault="00B576A8" w:rsidP="00AD55EB">
      <w:pPr>
        <w:rPr>
          <w:rFonts w:ascii="Times New Roman" w:hAnsi="Times New Roman"/>
          <w:sz w:val="24"/>
        </w:rPr>
      </w:pPr>
      <w:r w:rsidRPr="00296A5D">
        <w:rPr>
          <w:rFonts w:ascii="Times New Roman" w:hAnsi="Times New Roman"/>
          <w:sz w:val="24"/>
        </w:rPr>
        <w:t xml:space="preserve">     d) Các quyền khác theo quy định của pháp luật. </w:t>
      </w: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2. Nghĩa vụ của Bên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Thực hiện việc công chứng, chứng thực, đăng ký giao dịch bảo đảm Hợp đồng này tại cơ quan có thẩm quyền theo yêu cầu của Bên nhận thế chấp và chịu mọi chi phí để thực hiện  thế chấp tài sản (định giá, công chứng, đăng ký), xử lý tài sản bảo đảm (nếu có).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Giao toàn bộ giấy tờ gốc về chứng nhận quyền sở hữu, sử dụng, quản lý tài sản thế chấp và các giấy tờ khác có liên quan cho Bên nhận thế chấp ngay khi ký kết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Tiếp tục bảo quản, giữ gìn tài sản thế chấp, sử dụng, khai thác tài sản thế chấp nhưng không được làm giảm giá trị tài sản thế chấp so với khi ký hợp đồng (không tính đến hao mòn vô hình  và yếu tố trượt giá). Không thay đổi, sửa chữa cấu hình và các bộ phận của tài sản thế chấp làm giảm sút giá trị tài sản bảo đảm. Việc sửa chữa lớn, sáp nhập, trộn lẫn với các tài sản khác phải thông báo cho Bên nhận thế chấp biết. Bên thế chấp phải áp dụng các biện pháp cần thiết để tránh nguy cơ giảm sút hoặc mất giá trị tài sản bảo đảm, kể cả việc ngừng khai thác, sử dụng các tài sản bảo đảm đó.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Thông báo trung thực và kịp thời cho bên nhận thế chấp về các quyền và lợi ích hợp pháp của người thứ ba (nếu có) đối với tài sản thế chấp, kể cả việc thay đổi thứ tự thay đổi ưu tiên thanh toán (nếu có) đối với các chủ nợ khác trong trường hợp tài sản được bảo đảm thực hiện nhiều nghĩa vụ, thông báo về việc thay đổi tình trạng pháp lý, hiện trạng của tài sản thế chấp. Nếu không thông báo mà Bên nhận thế chấp biết được thì căn cứ vào mức độ nghiêm trọng của vi phạm. Bên nhận thế chấp sẽ yêu cầu bổ sung, thay thế tài sản bảo đảm; huỷ hợp đồng thế chấp và yêu cầu bồi thường thiệt hại đồng thời áp dụng các biện pháp khác để ngừng giải ngân và thu hồi nợ trước hạn.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e) Không được bán, trao đổi, chuyển nhượng, cho, tặng, cho mượn, cho thuê, góp vốn tài sản thế chấp, sử dụng tài sản thế chấp để cầm cố, thế chấp bảo đảm thực hiện cho tổ chức, cá nhân khác khi chưa có biện pháp bảo đảm khác thay thế và chưa được sự đồng ý bằng văn bản của Bên nhận thế chấp.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f) Áp dụng các biện pháp cần thiết để khắc phục, kể cả phải ngừng việc khai thác công dụng tài sản thế chấp do việc khai thác đó mà tài sản thế chấp có nguy cơ bị hư hỏng, mất giá trị hoặc giảm sút giá trị và phải thông báo ngay cho Bên nhận thế chấp biết. </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g) Trường hợp Bên thế chấp làm mất, làm hỏng hoặc làm mất giá trị tài sản thế chấp thì phải thông báo ngay cho bên nhận thế chấp và bổ sung, thay thế tài sản khác hoặc bổ sung, thay thế biện pháp bảo đảm khác; nếu không thực hiện được như vậy thì Bên nhận thế chấp có quyền yêu cầu bên thế chấp thực hiện nghĩa vụ trước hạn trừ trường hợp có thoả thuận khác.</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h) Phối hợp, tạo điều kiện để Bên nhận thế chấp kiểm tra định kỳ hoặc đột xuất tài sản thế chấp và thực hiện việc định giá lại tài sản thế chấp theo quy định nội bộ của Bên nhận thế chấp.</w:t>
      </w:r>
    </w:p>
    <w:p w:rsidR="00B576A8" w:rsidRPr="00296A5D" w:rsidRDefault="00B576A8" w:rsidP="00AD55EB">
      <w:pPr>
        <w:rPr>
          <w:rFonts w:ascii="Times New Roman" w:hAnsi="Times New Roman"/>
          <w:sz w:val="24"/>
        </w:rPr>
      </w:pPr>
      <w:r w:rsidRPr="00296A5D">
        <w:rPr>
          <w:rFonts w:ascii="Times New Roman" w:hAnsi="Times New Roman"/>
          <w:sz w:val="24"/>
        </w:rPr>
        <w:t xml:space="preserve">     k) Giao tài sản thế chấp cho bên nhận thế chấp trong trường hợp phải xử lý tài sản thế chấp theo  Hợp đồng này. </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6: QUYỀN VÀ NGHĨA VỤ CỦA BÊN NHẬN THẾ CHẤP</w:t>
      </w:r>
    </w:p>
    <w:p w:rsidR="00B576A8" w:rsidRPr="00296A5D" w:rsidRDefault="00B576A8" w:rsidP="00AD55EB">
      <w:pPr>
        <w:rPr>
          <w:rFonts w:ascii="Times New Roman" w:hAnsi="Times New Roman"/>
          <w:b/>
          <w:bCs/>
          <w:sz w:val="24"/>
        </w:rPr>
      </w:pPr>
      <w:r w:rsidRPr="00296A5D">
        <w:rPr>
          <w:rFonts w:ascii="Times New Roman" w:hAnsi="Times New Roman"/>
          <w:b/>
          <w:bCs/>
          <w:sz w:val="24"/>
        </w:rPr>
        <w:t xml:space="preserve">1. Quyền của </w:t>
      </w:r>
      <w:r w:rsidRPr="00296A5D">
        <w:rPr>
          <w:rFonts w:ascii="Times New Roman" w:hAnsi="Times New Roman"/>
          <w:b/>
          <w:sz w:val="24"/>
        </w:rPr>
        <w:t>Bên nhận thế chấp</w:t>
      </w:r>
      <w:r w:rsidRPr="00296A5D">
        <w:rPr>
          <w:rFonts w:ascii="Times New Roman" w:hAnsi="Times New Roman"/>
          <w:b/>
          <w:bCs/>
          <w:sz w:val="24"/>
        </w:rPr>
        <w:t xml:space="preserve">: </w:t>
      </w:r>
    </w:p>
    <w:p w:rsidR="00B576A8" w:rsidRPr="00296A5D" w:rsidRDefault="00B576A8" w:rsidP="00AD55EB">
      <w:pPr>
        <w:rPr>
          <w:rFonts w:ascii="Times New Roman" w:hAnsi="Times New Roman"/>
          <w:sz w:val="24"/>
        </w:rPr>
      </w:pPr>
      <w:r w:rsidRPr="00296A5D">
        <w:rPr>
          <w:rFonts w:ascii="Times New Roman" w:hAnsi="Times New Roman"/>
          <w:sz w:val="24"/>
        </w:rPr>
        <w:t xml:space="preserve">     a) Kiểm kê, kiểm tra, giám sát việc sử dụng, khai thác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Chủ động hoặc phối hợp với bên thế chấp đăng ký giao dịch bảo đảm Hợp đồng thế chấp, công chứng, chứng thực hợp đồng thế chấp. Trường hợp Bên nhận thế chấp đứng ra thực hiện thủ tục công chứng, chứng thực, đăng ký giao dịch bảo đảm Hợp đồng thế chấp thì có quyền yêu cầu Bên thế chấp hoàn trả chi phí cần thiết đó theo hoá đơn thực tế.</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Yêu cầu bên thế chấp cung cấp thông tin về thực trạng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Yêu cầu Bên thế chấp áp dụng các biện pháp cần thiết để bảo toàn tài sản thế chấp kể cả việc ngừng khai thác, sử dụng tài sản thế chấp nếu thấy có nguy cơ làm mất giá trị hoặc giảm sút giá trị nếu tiếp tục khai thác, sử dụng.</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e) Yêu cầu bên mượn, bên thuê tài sản thế chấp (nếu có) phải chấm dứt khai thác, sử dụng tài sản thế chấp nếu việc sử dụng, khai thác làm mất giá trị hoặc giảm sút giá trị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f) Yêu cầu Bên thế chấp thay thế, bổ sung bằng tài sản khác khi giá trị tài sản thế chấp suy giảm hoặc mất giá trị do khấu hao tài sản hoặc hao mòn tự nhiên (nếu có) hoặc vì bất kỳ lý do nào khác.</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g) Truy tìm, đòi lại tài sản thế chấp nếu Bên thế chấp tẩu tán dưới mọi hình thức, yêu cầu các cơ quan nhà nước có thẩm quyền áp dụng các biện pháp khẩn cấp tạm thời đối với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h) Yêu cầu cơ quan nhà nước có thẩm quyền tạm thời định chỉ việc làm thủ tục chuyển quyền sở hữu, quyền sử dụng tài sản thế chấp cho người khác nếu bên thế chấp chuyển quyền sở hữu, quyền sử dụng tài sản thế chấp khi chưa được sự chấp thuận bằng văn bản của Bên nhận thế chấp hoặc trái với nội dung đã chấp thuận của Bên nhận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i) Yêu cầu Bên thế chấp, bên chiếm hữu bất hợp pháp phải giao tài sản thế chấp để xử lý thu hồi nợ khi Bên thế chấp không thực hiện đúng nghĩa vụ theo Hợp đồng tín dụng và các nghĩa vụ của Bên thế chấp theo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j) Nếu tài sản thế chấp nằm trong diện quy hoạch của tỉnh, thành phố và phải giải phóng mặt bằng thì toàn bộ số tiền (hoặc tài sản khác) được đền bù đều do Bên nhận thế chấp quản lý (được coi là tài sản bảo đảm thay thế) để đảm bảo thu hồi nợ. Bên thế chấp bằng Hợp đồng này ủy quyền vô điều kiện và không hủy ngang cho Bên nhận thế chấp được thay mặt Bên thế chấp nhận tiền đền bù và/hoặc ký các văn bản, thực hiện các thủ tục cần thiết khác tại các cơ quan nhà nước có thẩm quyền để nhận tiền đền bù (nếu cần). Tiền đền bù thu được sẽ được sử dụng để thu nợ (kể cả trước hạn) của Bên thế chấp, trừ trường hợp các bên có thỏa thuận khác.</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k) Được áp dụng tất cả các biện pháp cần thiết để xử lý tài sản thế chấp, thu hồi nợ (trước hạn), ngừng giải ngân nếu phát hiện hoặc có cơ sở để cho rằng các cam đoan và bảo đảm của Bên thế chấp tại Hợp đồng này là không đúng sự thật.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l) Các quyền khác theo quy định của pháp luật.</w:t>
      </w:r>
    </w:p>
    <w:p w:rsidR="00B576A8" w:rsidRPr="00296A5D" w:rsidRDefault="00B576A8" w:rsidP="00AD55EB">
      <w:pPr>
        <w:rPr>
          <w:rFonts w:ascii="Times New Roman" w:hAnsi="Times New Roman"/>
          <w:b/>
          <w:bCs/>
          <w:sz w:val="24"/>
        </w:rPr>
      </w:pPr>
      <w:r w:rsidRPr="00296A5D">
        <w:rPr>
          <w:rFonts w:ascii="Times New Roman" w:hAnsi="Times New Roman"/>
          <w:b/>
          <w:bCs/>
          <w:sz w:val="24"/>
        </w:rPr>
        <w:t xml:space="preserve">2. Nghĩa vụ của </w:t>
      </w:r>
      <w:r w:rsidRPr="00296A5D">
        <w:rPr>
          <w:rFonts w:ascii="Times New Roman" w:hAnsi="Times New Roman"/>
          <w:b/>
          <w:sz w:val="24"/>
        </w:rPr>
        <w:t>Bên nhận thế chấp</w:t>
      </w:r>
      <w:r w:rsidRPr="00296A5D">
        <w:rPr>
          <w:rFonts w:ascii="Times New Roman" w:hAnsi="Times New Roman"/>
          <w:b/>
          <w:bCs/>
          <w:sz w:val="24"/>
        </w:rPr>
        <w:t xml:space="preserve">: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Giữ giấy tờ gốc giấy chứng nhận quyền sở hữu, sử dụng, quản lý và các giấy tờ khác có liên quan đến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Giao lại cho Bên thế chấp toàn bộ giấy tờ chứng nhận quyền sở hữu, sử dụng tài sản thế chấp và các giấy tờ khác liên quan đã nhận sau khi Bên thế chấp đã thực hiện đầy đủ nghĩa vụ của mình theo các Hợp đồng tín dụng hoặc thay đổi tài sản thế chấp bằng biện pháp bảo đảm khác và hai bên đã làm thủ tục giải trừ thế chấp.</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7: XỬ LÝ TÀI SẢN THẾ CHẤP</w:t>
      </w: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 xml:space="preserve">     1. Các trường hợp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Đến hạn thực hiện nghĩa vụ trả nợ theo các Hợp đồng tín dụng/Hợp đồng cấp bảo lãnh đã ký với Bên nhận thế chấp mà Bên thế chấp không thực hiện hoặc thực hiện không đúng nghĩa vụ.</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Bên thế chấp vi phạm nghĩa vụ của mình theo Hợp đồng tín dụng, Hợp đồng cấp bảo lãnh được bảo đảm bằng Hợp đồng thế chấp này dẫn đến việc phải thực hiện nghĩa vụ trả nợ trước hạn.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Bên thế chấp vi phạm Hợp đồng thế chấp này và Bên nhận thế chấp đánh giá việc xử lý tài sản thế chấp là cần thiết để thu nợ (trước hạn nếu có);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Tài sản thế chấp phải được xử lý để Bên thế chấp thực hiện nghĩa vụ khác theo quy định của pháp luật.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e) Theo thỏa thuận của các bên.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f) Các trường hợp khác do pháp luật quy định.</w:t>
      </w: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 xml:space="preserve">     2. Phương thức xử lý tài sản bảo đảm</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Trường hợp phải xử lý tài sản theo quy định tại khoản 1 Điều này, Bên nhận thế chấp được quyền thực hiện theo một trong các phương thức sau: </w:t>
      </w:r>
    </w:p>
    <w:p w:rsidR="00B576A8" w:rsidRPr="00296A5D" w:rsidRDefault="00B576A8" w:rsidP="00AD55EB">
      <w:pPr>
        <w:ind w:firstLine="360"/>
        <w:jc w:val="both"/>
        <w:rPr>
          <w:rFonts w:ascii="Times New Roman" w:hAnsi="Times New Roman"/>
          <w:sz w:val="24"/>
        </w:rPr>
      </w:pPr>
      <w:r w:rsidRPr="00296A5D">
        <w:rPr>
          <w:rFonts w:ascii="Times New Roman" w:hAnsi="Times New Roman"/>
          <w:sz w:val="24"/>
        </w:rPr>
        <w:t>a. Bên thế chấp đồng ý cho Bên nhận thế chấp nhận chính tài sản thế chấp để thay thế cho việc thực hiện nghĩa vụ trả nợ nếu Bên nhận thế chấp yêu cầu. Giá trị tài sản thế chấp do hai bên thoả thuận trên cơ sở mặt bằng giá tài sản cùng loại trên thị trường tại địa phương vào thời điểm đó.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Bán tài sản thế chấp: Thực hiện theo một trong các phương thức sau do Bên nhận thế chấp toàn quyền quyết định:</w:t>
      </w:r>
    </w:p>
    <w:p w:rsidR="00B576A8" w:rsidRPr="00296A5D" w:rsidRDefault="00B576A8" w:rsidP="00AD55EB">
      <w:pPr>
        <w:ind w:firstLine="360"/>
        <w:jc w:val="both"/>
        <w:rPr>
          <w:rFonts w:ascii="Times New Roman" w:hAnsi="Times New Roman"/>
          <w:sz w:val="24"/>
        </w:rPr>
      </w:pPr>
      <w:r w:rsidRPr="00296A5D">
        <w:rPr>
          <w:rFonts w:ascii="Times New Roman" w:hAnsi="Times New Roman"/>
          <w:sz w:val="24"/>
        </w:rPr>
        <w:t>- Bán trực tiếp cho người mua:</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Bên thế chấp đứng chủ (hoặc phối hợp với Bên nhận thế chấp) bán tài sản thế chấp để trả nợ Bên nhận thế chấp Giá cả tối thiểu của tài sản thế chấp do hai bên thoả thuận trên cơ sở mặt bằng giá tài sản cùng loại trên thị trường tại địa phương vào thời điểm đó. Giá bán tài sản thế chấp không được thấp hơn giá tối thiểu đã thoả thuận. Thời hạn bán tài sản thế chấp do hai bên thống nhất.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Trường hợp Bên thế chấp không đứng chủ bán tài sản hoặc các bên không thống nhất được về giá bán tài sản, thì Bên nhận thế chấp được quyền quyết định thuê Công ty tư vấn thẩm định giá tài sản để làm cơ sở xác định giá bán tài sản hoặc ngân hàng được quyền tự xác định giá bán tài sản bảo đảm trên cơ sở mặt bằng giá tài sản cùng loại trên thị trường vào thời điểm đó và Bên thế chấp cam kết sẽ trực tiếp thực hiện hoặc theo đây, ủy quyền không hủy ngang và duy nhất cho Bên nhân thế chấp được đại diện, nhân danh Bên thế chấp tiến hành các thủ tục bán tài sản bảo đảm, chuyển nhượng tài sản bảo đảm cho bên thứ ba.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Đăng báo bán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Bên nhận thế chấp được quyền đơn phương bán tài sản thế chấp theo hình thức đăng báo bán tài sản mà không cần sự đồng ý của Bên thế chấp. Giá bán tài sản thế chấp sẽ do Bên nhận thế chấp toàn quyền xác định trên cơ sở mặt bằng giá tài sản cùng loại trên thị trường vào thời điểm đó hoặc thuê Công ty định giá. Việc đăng báo được thực hiện tối thiểu một lần và Bên nhận thế chấp được toàn quyền bán tài sản thế chấp cho người chào mua cao nhất, kể cả trong trường hợp chỉ có một người chào mua.</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Bán đấu giá tài sản: Giá tài sản thế chấp làm căn cứ bán đấu giá (giá đấu giá) được xác định theo thỏa thuận của Bên thế chấp và Bên nhận thế chấp; hoặc trường hợp các bên không thống nhất được giá đấu giá thì Bên nhận thế chấp toàn quyền quyết định xác định giá trị tài sản thế chấp theo một trong các phương thức sau: (A) Bên nhận thế chấp xác định giá đấu giá trên cơ sở mặt bằng giá tài sản cùng loại trên thị trường tại địa phương vào thời điểm đó; hoặc (B) thuê Công ty định giá; hoặc (C) thuê Trung tâm bán đấu giá (hoặc tổ chức có chức năng bán đấu giá) xác định trên cơ sở hợp đồng ủy quyền bán đấu giá tài sản (nếu có thỏa thuận), Hợp đồng ủy quyền bán đấu giá tài sản được ký kết với Trung tâm bán đấu giá (hoặc tổ chức có chức năng bán đấu giá).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Bên nhận thế chấp yêu cầu Toà án giải quyết,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d. Các cách thức khác theo quy định của pháp luật.</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8: THỰC HIỆN QUYỀN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1. Trường hợp xử lý tài sản thế chấp theo quy định tại Hợp đồng này, Bên nhận thế chấp có quyền định đoạt toàn bộ tài sản mà không cần bất cứ sự chuyển giao, chấp thuận nào khác từ phía Bên thế chấp.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Trong quá trình thực hiện xử lý tài sản thế chấp, Bên nhận thế chấp được thực hiện toàn bộ các quyền của Bên thế chấp với tư cách là chủ sở hữu tài sản, bao gồm và không giới hạn bởi các quyền năng sau:</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Chỉ định hoặc ủy quyền lại việc xử lý tài sản thế chấp cho một bên thứ ba khác (không phân biệt cá nhân hoặc tổ chức), thay thế Bên nhận thế chấp thực hiện các quyền của Bên thế chấp trong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Bên nhận thế chấp được quyền bán hoặc định đoạt dưới bất kỳ hình thức khác nào đối với tài sản theo một hay nhiều giao dịch theo phương thức do Bên nhận thế chấp quyết định phù hợp với quy định pháp luật và thỏa thuận của các bên tại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Bên nhận thế chấp được toàn quyền đàm phán, ký kết, sửa đổi, từ bỏ hoặc hủy bỏ bất kỳ hợp đồng nào cấu thành hoặc có liên quan đến việc xử lý tài sản bảo đảm;</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Bên nhận thế chấp được thực hiện các quyền khác của chủ sở hữu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3. Trong quá trình xử lý tài sản, Bên nhận thế chấp được thực hiện bất kỳ hành động, thủ tục nào trước cơ quan nhà nước có thẩm quyền (không giới hạn bởi các thủ tục chuyển nhượng tài sản bảo đảm) và ký bất kỳ văn kiện nào (không giới hạn bởi Hợp đồng ủy quyền cho Đơn vị bán đấu giá tài sản, đăng báo bán đấu giá, Hợp đồng chuyển nhượng tài sản…) với người mua để đạt được mục đích xử lý tài sản.</w:t>
      </w:r>
    </w:p>
    <w:p w:rsidR="00B576A8" w:rsidRPr="00296A5D" w:rsidRDefault="00B576A8" w:rsidP="00AD55EB">
      <w:pPr>
        <w:jc w:val="center"/>
        <w:rPr>
          <w:rFonts w:ascii="Times New Roman" w:hAnsi="Times New Roman"/>
          <w:b/>
          <w:bCs/>
          <w:sz w:val="24"/>
        </w:rPr>
      </w:pP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9: XỬ LÝ TIỀN BÁN TÀI SẢN THẾ CHẤP</w:t>
      </w:r>
    </w:p>
    <w:p w:rsidR="00B576A8" w:rsidRPr="00296A5D" w:rsidRDefault="00B576A8" w:rsidP="00AD55EB">
      <w:pPr>
        <w:ind w:firstLine="360"/>
        <w:jc w:val="both"/>
        <w:rPr>
          <w:rFonts w:ascii="Times New Roman" w:hAnsi="Times New Roman"/>
          <w:sz w:val="24"/>
        </w:rPr>
      </w:pPr>
      <w:r w:rsidRPr="00296A5D">
        <w:rPr>
          <w:rFonts w:ascii="Times New Roman" w:hAnsi="Times New Roman"/>
          <w:sz w:val="24"/>
        </w:rPr>
        <w:t>1. Tiền bán tài sản thế chấp dùng để thanh toán theo thứ tự sau: các chi phí bảo quản, chi phí xử lý tài sản thế chấp và các chi phí cần thiết khác có liên quan đến xử lý tài sản; thanh toán theo thứ tự trả nợ gốc, lãi vay, lãi phạt, phí, tiền bồi thường thiệt hại (nếu có) cho Bên nhận thế chấp tương ứng với phạm vi bảo đảm thực hiện nghĩa vụ của tài sản thế chấp nêu tại Điều 1 Hợp đồng này, trừ khi các bên có thỏa thuận khác/hoặc theo một thứ tự khác do Bên nhận thế chấp tự quyết định theo quy định nội bộ của Bên nhận thế chấp và có thông báo bằng văn bản cho Bên thế chấp biết.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Nếu tiền xử lý tài sản thế chấp sau khi thanh toán theo khoản 1 Điều này còn thiếu thì Bên thế chấp vẫn phải tiếp tục có nghĩa vụ thanh toán đối với phần còn thiếu đó và thế chấp phải bổ sung tài sản bảo đảm để bảo đảm thực hiện phần nghĩa vụ chưa thực hiện;</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3. Nếu tiền xử lý tài sản thế chấp sau khi thanh toán theo khoản 1 Điều này vẫn còn thì Bên nhận thế chấp được phép giữ lại để thanh toán các khoản nợ đến hạn, sắp đến hạn hoặc đã quá hạn khác của Bên thế chấp tại Quỹ tín dụng nhân dân Thái Học (nếu có), nếu không có nghĩa vụ nào khác phải thanh toán thì Quỹ tín dụng nhân dân Thái Học chuyển trả cho Bên thế chấp.</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10: CAM ĐOAN CỦA CÁC BÊN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Các bên tham gia giao dịch chịu trách nhiệm trước pháp luật về những lời cam đoan sau đây: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1. Những thông tin về nhân thân, về thửa đất và tài sản gắn liền với đất đã ghi trong Hợp đồng này là đúng sự thật; Các tài sản thế chấp nêu tại Hợp đồng này hoàn toàn thuộc quyền sở hữu, sử dụng, quản lý hợp pháp của Bên thế chấp và theo quy định của pháp luật Bên thế chấp có toàn quyền sử dụng để thế chấp bảo đảm thực hiện nghĩa vụ cho Bên nhận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Các tài sản thế chấp nói trên hiện không sử dụng làm thế chấp, cầm cố dưới bất kỳ hình thức nào để đảm bảo cho bất kỳ một nghĩa vụ nào khác; không bị tranh chấp hoặc tiêm tàng khả năng tranh chấp về quyền sở hữu, sử dụng, quản lý.</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Các tài sản thế chấp không thuộc đối tượng bị trưng thu, trưng dụng; thu hồi; không bị kê biên để đảm bảo thi hành án, quyết định có hiệu lực của Tòa án, Trọng tài nhằm thực hiện nghĩa vụ của Bên cầm cố đối với bên thứ ba.</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3. Không có bất kỳ thủ tục tố tụng, thủ tục trọng tài hoặc thủ tục xử lý hành chính nào đang diễn ra, đang chờ giải quyết hoặc đe doạ Bên thế chấp liên quan đến tài sản thế chấp có thể tác động đến tính hợp pháp, hợp lệ, giá trị ràng buộc hoặc hiệu lực thi hành Hợp đồng thế chấp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4. Việc giao kết Hợp đồng này hoàn toàn tự nguyện, không bị lừa dối, không bị ép buộc;</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11: HIỆU LỰC, SỐ BẢN HỢP ĐỒNG</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1. Hợp đồng này có hiệu lực kể từ thời điểm được công chứng và đăng ký giao dịch bảo đảm.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Hợp đồng này được lập thành 04 (bốn) bản chính, có giá trị pháp lý như nhau bằng tiếng Việt: Bên nhận thế chấp giữ 01 (một) bản, Phòng Công chứng số 2 thành phố Hải Phòng giữ 01 (một) bản, Chi nhánh văn phòng đăng ký đất đai Chí Linh 01 (một) bản, Bên thế chấp giữ 01 (một) bản.</w:t>
      </w:r>
    </w:p>
    <w:p w:rsidR="00B576A8" w:rsidRPr="00296A5D" w:rsidRDefault="00B576A8" w:rsidP="00AD55EB">
      <w:pPr>
        <w:jc w:val="both"/>
        <w:rPr>
          <w:rFonts w:ascii="Times New Roman" w:hAnsi="Times New Roman"/>
          <w:sz w:val="24"/>
        </w:rPr>
      </w:pP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BÊN THẾ CHẤP ( BÊN VAY VỐN )               QUỸ TÍN DỤNG NHÂN DÂN THÁI HỌC</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 xml:space="preserve">                                                                                  BÊN NHẬN THẾ CHẤP</w:t>
      </w:r>
    </w:p>
    <w:p w:rsidR="00B576A8" w:rsidRPr="00296A5D" w:rsidRDefault="00B576A8" w:rsidP="00AD55EB">
      <w:pPr>
        <w:rPr>
          <w:rFonts w:ascii="Times New Roman" w:hAnsi="Times New Roman"/>
          <w:i/>
          <w:sz w:val="24"/>
        </w:rPr>
      </w:pPr>
      <w:r w:rsidRPr="00296A5D">
        <w:rPr>
          <w:rFonts w:ascii="Times New Roman" w:hAnsi="Times New Roman"/>
          <w:i/>
          <w:sz w:val="24"/>
        </w:rPr>
        <w:t xml:space="preserve">               (Ký, ghi rõ họ tên)                                                  ( Ký,ghi rõ họ tên, đóng dấu)</w:t>
      </w:r>
    </w:p>
    <w:p w:rsidR="001C5807" w:rsidRPr="001C5807" w:rsidRDefault="001C5807" w:rsidP="00296A5D">
      <w:pPr>
        <w:pStyle w:val="ListParagraph"/>
        <w:ind w:left="360"/>
        <w:jc w:val="center"/>
        <w:rPr>
          <w:rFonts w:ascii="Times New Roman" w:hAnsi="Times New Roman"/>
          <w:sz w:val="24"/>
        </w:rPr>
      </w:pPr>
    </w:p>
    <w:sectPr w:rsidR="001C5807" w:rsidRPr="001C5807" w:rsidSect="00E06A80">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760CE"/>
    <w:multiLevelType w:val="hybridMultilevel"/>
    <w:tmpl w:val="0204A10A"/>
    <w:lvl w:ilvl="0" w:tplc="39A250E8">
      <w:numFmt w:val="bullet"/>
      <w:lvlText w:val="-"/>
      <w:lvlJc w:val="left"/>
      <w:pPr>
        <w:ind w:left="1080" w:hanging="360"/>
      </w:pPr>
      <w:rPr>
        <w:rFonts w:ascii="Times New Roman" w:eastAsiaTheme="minorHAnsi" w:hAnsi="Times New Roman" w:cs="Times New Roman" w:hint="default"/>
      </w:rPr>
    </w:lvl>
    <w:lvl w:ilvl="1" w:tplc="39A250E8">
      <w:numFmt w:val="bullet"/>
      <w:lvlText w:val="-"/>
      <w:lvlJc w:val="left"/>
      <w:pPr>
        <w:ind w:left="1800" w:hanging="360"/>
      </w:pPr>
      <w:rPr>
        <w:rFonts w:ascii="Times New Roman" w:eastAsiaTheme="minorHAnsi" w:hAnsi="Times New Roman"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3F41E5"/>
    <w:multiLevelType w:val="hybridMultilevel"/>
    <w:tmpl w:val="B8A65B54"/>
    <w:lvl w:ilvl="0" w:tplc="753277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C3177E"/>
    <w:multiLevelType w:val="hybridMultilevel"/>
    <w:tmpl w:val="F0080E36"/>
    <w:lvl w:ilvl="0" w:tplc="18943B28">
      <w:start w:val="1"/>
      <w:numFmt w:val="bullet"/>
      <w:lvlText w:val="-"/>
      <w:lvlJc w:val="left"/>
      <w:pPr>
        <w:ind w:left="720" w:hanging="360"/>
      </w:pPr>
      <w:rPr>
        <w:rFonts w:ascii="Times New Roman" w:eastAsiaTheme="minorHAnsi" w:hAnsi="Times New Roman" w:cs="Times New Roman" w:hint="default"/>
      </w:rPr>
    </w:lvl>
    <w:lvl w:ilvl="1" w:tplc="14462D3A">
      <w:numFmt w:val="bullet"/>
      <w:lvlText w:val="-"/>
      <w:lvlJc w:val="left"/>
      <w:pPr>
        <w:ind w:left="1440" w:hanging="360"/>
      </w:pPr>
      <w:rPr>
        <w:rFonts w:ascii="Times New Roman" w:eastAsia="Times New Roman" w:hAnsi="Times New Roman"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43569F"/>
    <w:multiLevelType w:val="hybridMultilevel"/>
    <w:tmpl w:val="9D900E18"/>
    <w:lvl w:ilvl="0" w:tplc="C8EEF84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F43C7E"/>
    <w:multiLevelType w:val="hybridMultilevel"/>
    <w:tmpl w:val="E65CFE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FBB7F39"/>
    <w:multiLevelType w:val="hybridMultilevel"/>
    <w:tmpl w:val="E47E5F66"/>
    <w:lvl w:ilvl="0" w:tplc="753277E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6F53F49"/>
    <w:multiLevelType w:val="hybridMultilevel"/>
    <w:tmpl w:val="C9520328"/>
    <w:lvl w:ilvl="0" w:tplc="14462D3A">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7F17032"/>
    <w:multiLevelType w:val="hybridMultilevel"/>
    <w:tmpl w:val="82264A5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1D0907"/>
    <w:multiLevelType w:val="hybridMultilevel"/>
    <w:tmpl w:val="D90421E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9346857"/>
    <w:multiLevelType w:val="hybridMultilevel"/>
    <w:tmpl w:val="606A5730"/>
    <w:lvl w:ilvl="0" w:tplc="753277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5180BCA"/>
    <w:multiLevelType w:val="hybridMultilevel"/>
    <w:tmpl w:val="B8842536"/>
    <w:lvl w:ilvl="0" w:tplc="18943B28">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4F4EB5"/>
    <w:multiLevelType w:val="hybridMultilevel"/>
    <w:tmpl w:val="DDEE8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E35D5A"/>
    <w:multiLevelType w:val="hybridMultilevel"/>
    <w:tmpl w:val="B2B8D2BE"/>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5191F79"/>
    <w:multiLevelType w:val="hybridMultilevel"/>
    <w:tmpl w:val="4BDCB3A2"/>
    <w:lvl w:ilvl="0" w:tplc="753277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8DF55FF"/>
    <w:multiLevelType w:val="hybridMultilevel"/>
    <w:tmpl w:val="6416F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CA602C"/>
    <w:multiLevelType w:val="hybridMultilevel"/>
    <w:tmpl w:val="6DD887C2"/>
    <w:lvl w:ilvl="0" w:tplc="861687D8">
      <w:start w:val="1"/>
      <w:numFmt w:val="decimal"/>
      <w:lvlText w:val="%1."/>
      <w:lvlJc w:val="left"/>
      <w:pPr>
        <w:ind w:left="2160" w:hanging="360"/>
      </w:pPr>
      <w:rPr>
        <w:rFonts w:hint="default"/>
        <w:b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32C00C2"/>
    <w:multiLevelType w:val="hybridMultilevel"/>
    <w:tmpl w:val="63A8B0A4"/>
    <w:lvl w:ilvl="0" w:tplc="18943B28">
      <w:start w:val="1"/>
      <w:numFmt w:val="bullet"/>
      <w:lvlText w:val="-"/>
      <w:lvlJc w:val="left"/>
      <w:pPr>
        <w:ind w:left="720" w:hanging="360"/>
      </w:pPr>
      <w:rPr>
        <w:rFonts w:ascii="Times New Roman" w:eastAsiaTheme="minorHAnsi" w:hAnsi="Times New Roman" w:cs="Times New Roman" w:hint="default"/>
      </w:rPr>
    </w:lvl>
    <w:lvl w:ilvl="1" w:tplc="14462D3A">
      <w:numFmt w:val="bullet"/>
      <w:lvlText w:val="-"/>
      <w:lvlJc w:val="left"/>
      <w:pPr>
        <w:ind w:left="1440" w:hanging="360"/>
      </w:pPr>
      <w:rPr>
        <w:rFonts w:ascii="Times New Roman" w:eastAsia="Times New Roman" w:hAnsi="Times New Roman"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8F3BDD"/>
    <w:multiLevelType w:val="hybridMultilevel"/>
    <w:tmpl w:val="94F63CA4"/>
    <w:lvl w:ilvl="0" w:tplc="4B022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81B563B"/>
    <w:multiLevelType w:val="hybridMultilevel"/>
    <w:tmpl w:val="BDBA23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961280F"/>
    <w:multiLevelType w:val="hybridMultilevel"/>
    <w:tmpl w:val="EA8220D0"/>
    <w:lvl w:ilvl="0" w:tplc="861687D8">
      <w:start w:val="1"/>
      <w:numFmt w:val="decimal"/>
      <w:lvlText w:val="%1."/>
      <w:lvlJc w:val="left"/>
      <w:pPr>
        <w:ind w:left="2160" w:hanging="360"/>
      </w:pPr>
      <w:rPr>
        <w:rFonts w:hint="default"/>
        <w:b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40E456E"/>
    <w:multiLevelType w:val="hybridMultilevel"/>
    <w:tmpl w:val="F300E52C"/>
    <w:lvl w:ilvl="0" w:tplc="861687D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E8779FA"/>
    <w:multiLevelType w:val="hybridMultilevel"/>
    <w:tmpl w:val="61F8F784"/>
    <w:lvl w:ilvl="0" w:tplc="753277EA">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07C098C"/>
    <w:multiLevelType w:val="hybridMultilevel"/>
    <w:tmpl w:val="C254A062"/>
    <w:lvl w:ilvl="0" w:tplc="39A250E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2"/>
  </w:num>
  <w:num w:numId="3">
    <w:abstractNumId w:val="11"/>
  </w:num>
  <w:num w:numId="4">
    <w:abstractNumId w:val="17"/>
  </w:num>
  <w:num w:numId="5">
    <w:abstractNumId w:val="1"/>
  </w:num>
  <w:num w:numId="6">
    <w:abstractNumId w:val="21"/>
  </w:num>
  <w:num w:numId="7">
    <w:abstractNumId w:val="8"/>
  </w:num>
  <w:num w:numId="8">
    <w:abstractNumId w:val="2"/>
  </w:num>
  <w:num w:numId="9">
    <w:abstractNumId w:val="16"/>
  </w:num>
  <w:num w:numId="10">
    <w:abstractNumId w:val="3"/>
  </w:num>
  <w:num w:numId="11">
    <w:abstractNumId w:val="14"/>
  </w:num>
  <w:num w:numId="12">
    <w:abstractNumId w:val="4"/>
  </w:num>
  <w:num w:numId="13">
    <w:abstractNumId w:val="18"/>
  </w:num>
  <w:num w:numId="14">
    <w:abstractNumId w:val="20"/>
  </w:num>
  <w:num w:numId="15">
    <w:abstractNumId w:val="15"/>
  </w:num>
  <w:num w:numId="16">
    <w:abstractNumId w:val="19"/>
  </w:num>
  <w:num w:numId="17">
    <w:abstractNumId w:val="5"/>
  </w:num>
  <w:num w:numId="18">
    <w:abstractNumId w:val="13"/>
  </w:num>
  <w:num w:numId="19">
    <w:abstractNumId w:val="9"/>
  </w:num>
  <w:num w:numId="20">
    <w:abstractNumId w:val="6"/>
  </w:num>
  <w:num w:numId="21">
    <w:abstractNumId w:val="7"/>
  </w:num>
  <w:num w:numId="22">
    <w:abstractNumId w:val="22"/>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6195"/>
    <w:rsid w:val="0000448E"/>
    <w:rsid w:val="000D77D2"/>
    <w:rsid w:val="001411F4"/>
    <w:rsid w:val="001A2CE0"/>
    <w:rsid w:val="001C5807"/>
    <w:rsid w:val="00296A5D"/>
    <w:rsid w:val="003C6195"/>
    <w:rsid w:val="0040187F"/>
    <w:rsid w:val="004614C0"/>
    <w:rsid w:val="005214B5"/>
    <w:rsid w:val="005515E1"/>
    <w:rsid w:val="005541DE"/>
    <w:rsid w:val="00713114"/>
    <w:rsid w:val="009B5057"/>
    <w:rsid w:val="00A10818"/>
    <w:rsid w:val="00A915B3"/>
    <w:rsid w:val="00AD55EB"/>
    <w:rsid w:val="00B576A8"/>
    <w:rsid w:val="00BC2EA0"/>
    <w:rsid w:val="00BF7360"/>
    <w:rsid w:val="00CA5FFE"/>
    <w:rsid w:val="00D0217B"/>
    <w:rsid w:val="00D66184"/>
    <w:rsid w:val="00DC5037"/>
    <w:rsid w:val="00E06A80"/>
    <w:rsid w:val="00E920BA"/>
    <w:rsid w:val="00ED2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F2B52"/>
  <w15:chartTrackingRefBased/>
  <w15:docId w15:val="{052DF70F-B789-4091-82E4-0D1AD80CE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6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TotalTime>
  <Pages>8</Pages>
  <Words>2953</Words>
  <Characters>16834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24</cp:revision>
  <dcterms:created xsi:type="dcterms:W3CDTF">2025-12-08T01:04:00Z</dcterms:created>
  <dcterms:modified xsi:type="dcterms:W3CDTF">2025-12-11T07:12:00Z</dcterms:modified>
</cp:coreProperties>
</file>