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13/26/32/HĐTD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01 năm (từ ngày 11/03/2026 đến ngày 11/03/2027)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