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tc>
        <w:tc>
          <w:p/>
        </w:tc>
        <w:tc>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III</w:t>
            </w:r>
          </w:p>
        </w:tc>
        <w:tc>
          <w:p>
            <w:pPr>
              <w:jc w:val="center"/>
            </w:pPr>
            <w:r>
              <w:rPr>
                <w:rFonts w:ascii="Times New Roman" w:hAnsi="Times New Roman" w:cs="Times New Roman" w:eastAsia="Times New Roman"/>
                <w:sz w:val="26"/>
              </w:rPr>
              <w:t>Chi phí gián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Tổng chi phí của phương án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