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CHÍNH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04/02/1955</w:t>
      </w:r>
    </w:p>
    <w:p w:rsidR="00D5237B" w:rsidRDefault="00DE09B6" w:rsidP="008757BE">
      <w:pPr>
        <w:rPr>
          <w:rFonts w:ascii="Times New Roman" w:hAnsi="Times New Roman"/>
          <w:sz w:val="26"/>
        </w:rPr>
      </w:pPr>
      <w:r w:rsidRPr="001F18EB">
        <w:rPr>
          <w:rFonts w:ascii="Times New Roman" w:hAnsi="Times New Roman"/>
          <w:sz w:val="26"/>
        </w:rPr>
        <w:t xml:space="preserve">CC/CCCD Số: 030055010395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ĐINH THỊ LÝ</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04/06/1956   </w:t>
      </w:r>
    </w:p>
    <w:p w:rsidR="00D5237B" w:rsidRDefault="00865DE2" w:rsidP="008757BE">
      <w:pPr>
        <w:rPr>
          <w:rFonts w:ascii="Times New Roman" w:hAnsi="Times New Roman"/>
          <w:sz w:val="26"/>
        </w:rPr>
      </w:pPr>
      <w:r w:rsidRPr="001F18EB">
        <w:rPr>
          <w:rFonts w:ascii="Times New Roman" w:hAnsi="Times New Roman"/>
          <w:sz w:val="26"/>
        </w:rPr>
        <w:t xml:space="preserve">CC/CCCD Số: 030156014503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CHÍNH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ĐINH THỊ LÝ</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3.135.000.000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2.804.700.000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330,300,000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287,217,391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330,300,000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43,082,609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2.662.500.000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1.162.500.000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43.7%</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56.3%</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330,300,000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1.169.700.000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 0521594       </w:t>
      </w:r>
      <w:r>
        <w:rPr>
          <w:rFonts w:ascii="Times New Roman" w:hAnsi="Times New Roman"/>
          <w:sz w:val="26"/>
        </w:rPr>
        <w:t>Vào sổ cấp Giấy chứng nhận quyền sử dụng đất số: 1304 QSDĐ.</w:t>
      </w:r>
    </w:p>
    <w:p w:rsidR="00FA2436" w:rsidRDefault="00FA2436" w:rsidP="00374218">
      <w:pPr>
        <w:rPr>
          <w:rFonts w:ascii="Times New Roman" w:hAnsi="Times New Roman"/>
          <w:sz w:val="26"/>
        </w:rPr>
      </w:pPr>
      <w:r>
        <w:rPr>
          <w:rFonts w:ascii="Times New Roman" w:hAnsi="Times New Roman"/>
          <w:sz w:val="26"/>
        </w:rPr>
        <w:t>Mang tên:   Phùng Văn Chính</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CHÍNH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ĐINH THỊ LÝ</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PHÙNG VĂN CHÍNH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ĐINH THỊ LÝ</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Cho vay ngắn hạn</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1.500.000.000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năm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tháng;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14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