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100m²; Loại nhà: Kiên cố</w:t>
      </w:r>
      <w:bookmarkStart w:id="0" w:name="_GoBack"/>
      <w:bookmarkEnd w:id="0"/>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6047C9">
      <w:pPr>
        <w:spacing w:after="0" w:line="288" w:lineRule="auto"/>
        <w:ind w:left="720" w:firstLine="720"/>
        <w:jc w:val="center"/>
        <w:rPr>
          <w:rFonts w:ascii="13" w:hAnsi="13"/>
          <w:sz w:val="26"/>
        </w:rPr>
      </w:pPr>
      <w:r w:rsidRPr="00F866DF">
        <w:rPr>
          <w:rFonts w:ascii="13" w:hAnsi="13"/>
          <w:sz w:val="26"/>
        </w:rPr>
        <w:t>{{TABLE3_PLACEHOLDER}}</w:t>
      </w:r>
    </w:p>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1.780.000.000 đồng  (Bằng chữ: Một tỷ bảy trăm tám mươi triệu đồng chẵn).</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{{phanTramTyLe}}</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6035C"/>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581</TotalTime>
  <Pages>4</Pages>
  <Words>1177</Words>
  <Characters>6710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2026-09-10T08:02:00Z</dcterms:modified>
  <cp:revision>127</cp:revision>
</cp:coreProperties>
</file>