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 Giá trị quyền sử dụng đất: 1.780.000.000 đồng</w:t>
        <w:br/>
        <w:br/>
        <w:br/>
        <w:br/>
        <w:br/>
        <w:br/>
        <w:br/>
        <w:br/>
        <w:br/>
        <w:br/>
        <w:br/>
        <w:br/>
        <w:br/>
        <w:br/>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