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Đặc điểm thửa đất:</w:t>
        <w:cr/>
        <w:t>- Hình thức sử dụng: + Sử dụng riêng: 178 m²; + Sử dụng chung: 0 m²;</w:t>
        <w:cr/>
        <w:t xml:space="preserve">+ Đất ở : 178 m²; </w:t>
        <w:cr/>
        <w:t>- Thời hạn sử dụng đất: Lâu dài</w:t>
        <w:cr/>
        <w:t/>
        <w:cr/>
        <w:t/>
        <w:cr/>
        <w:t>- Giá trị quyền sử dụng đất: 1.780.000.000 đồng</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