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Hình thức sử dụng: + Sử dụng riêng: 178 m²; + Sử dụng chung: 0 m²;</w:t>
        <w:cr/>
        <w:t xml:space="preserve">- Mục đích sử dụng: + Đất ở : 178 m²; </w:t>
        <w:cr/>
        <w:t>- Thời hạn sử dụng đất: Lâu dài</w:t>
        <w:cr/>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