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tín dụng hạn mức được ký kêt giữa bên A và bên B theo liệt kê chi tiết tại Phụ lục Hợp đồng này, đồng thời thống nhất việc xử lý số dư nợ vay được liệt kê theo nguyên tắc tham chiếu chi tiết kèm theo.</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