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08/22/123 được các bên thỏa thuận, nhất trí xác lập, giao kết vào ngày: 16/09/2022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08/26/148</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