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08/22/123/HĐTC được các bên thỏa thuận, nhất trí xác lập, giao kết vào ngày: 16/09/2022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08/26/148</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