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 1.780.000.000 đồng (Bằng chữ: Một tỷ bảy trăm tám mươi triệu đồng chẵn)</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