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: 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Thời hạn duy trì: 01 năm (từ ngày 12/03/2026 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Thông tin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               Kiểm soát                                                                             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