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106/2026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06 năm 2027</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12 tháng 06 năm 2027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VŨ THỊ BÍCH NGỌC</w:t>
      </w:r>
      <w:r w:rsidR="006C040C">
        <w:rPr>
          <w:rFonts w:ascii="Times New Roman" w:hAnsi="Times New Roman"/>
          <w:sz w:val="26"/>
        </w:rPr>
        <w:t xml:space="preserve"> và ông</w:t>
      </w:r>
      <w:r>
        <w:rPr>
          <w:rFonts w:ascii="Times New Roman" w:hAnsi="Times New Roman"/>
          <w:sz w:val="26"/>
        </w:rPr>
        <w:t xml:space="preserve"> </w:t>
      </w:r>
      <w:r w:rsidRPr="00DD6D6E">
        <w:rPr>
          <w:rFonts w:ascii="Times New Roman" w:hAnsi="Times New Roman"/>
          <w:b/>
          <w:sz w:val="26"/>
        </w:rPr>
        <w:t>DƯƠNG VĂN DƯƠNG</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TDP Bờ Đa,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VŨ THỊ BÍCH NGỌC</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DƯƠNG VĂN DƯƠNG</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Đa,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cửa cuốn, nhôm kính.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