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8B4FA0">
        <w:rPr>
          <w:rFonts w:ascii="13" w:hAnsi="13"/>
          <w:b/>
          <w:sz w:val="26"/>
        </w:rPr>
        <w:t xml:space="preserve"> {{lai</w:t>
      </w:r>
      <w:bookmarkStart w:id="0" w:name="_GoBack"/>
      <w:bookmarkEnd w:id="0"/>
      <w:r w:rsidR="00502E17">
        <w:rPr>
          <w:rFonts w:ascii="13" w:hAnsi="13"/>
          <w:b/>
          <w:sz w:val="26"/>
        </w:rPr>
        <w:t>}}</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BQ 281392, vào số cấp sổ: Vào sổ cấp Giấy chứng nhận Quyền sử dụng đất số: BQ281392, ngày cấp: 21/11/2013,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C2DF9"/>
    <w:rsid w:val="003E0813"/>
    <w:rsid w:val="003F6C2C"/>
    <w:rsid w:val="0045214C"/>
    <w:rsid w:val="004545CE"/>
    <w:rsid w:val="00457051"/>
    <w:rsid w:val="004F33F8"/>
    <w:rsid w:val="00502E17"/>
    <w:rsid w:val="00504568"/>
    <w:rsid w:val="00511195"/>
    <w:rsid w:val="0054712E"/>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A100"/>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1110</TotalTime>
  <Pages>3</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2026-08-03T08:39:00Z</dcterms:modified>
  <cp:revision>105</cp:revision>
</cp:coreProperties>
</file>