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HOÀN</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18/05/1983</w:t>
      </w:r>
    </w:p>
    <w:p w:rsidR="005A6481" w:rsidRDefault="005A6481" w:rsidP="00472083">
      <w:pPr>
        <w:rPr>
          <w:rFonts w:ascii="Times New Roman" w:hAnsi="Times New Roman"/>
          <w:sz w:val="28"/>
        </w:rPr>
      </w:pPr>
      <w:r>
        <w:rPr>
          <w:rFonts w:ascii="Times New Roman" w:hAnsi="Times New Roman"/>
          <w:sz w:val="28"/>
        </w:rPr>
        <w:t>Địa chỉ thường trú: KDC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MẠC THỊ TRANG</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04/07/1983</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030183012998;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KDC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cửa cuốn, nhôm kính.</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KDC Đại,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100.000.000 đồng (Bằng chữ: Một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3.066.800.000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Cửa cuốn</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3.228.000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218.560.000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Cửa nhôm</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422.199.996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 Ng x 8 triệu/ng/tháng)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7.183.333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86.199.996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11.250.000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3.623.999.996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3.488.999.996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3.388.999.996</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97.1%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2.9%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4.357.800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348.624.000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3.688.200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295.056.000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4.140.180.000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4.140.180.000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3.623.999.996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516.180.004</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516.180.004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-416.180.004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BQ 281392</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Vào sổ cấp Giấy chứng nhận Quyền sử dụng đất số: BQ281392</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21/11/2013</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và bà Mạc Thị Trang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