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Chu Văn An,</w:t>
      </w:r>
      <w:r w:rsidRPr="0022117A">
        <w:rPr>
          <w:rFonts w:ascii="Times New Roman" w:hAnsi="Times New Roman"/>
          <w:b/>
          <w:sz w:val="24"/>
        </w:rPr>
        <w:t xml:space="preserve"> </w:t>
      </w:r>
      <w:r w:rsidRPr="0022117A">
        <w:rPr>
          <w:rFonts w:ascii="Times New Roman" w:hAnsi="Times New Roman"/>
          <w:sz w:val="24"/>
        </w:rPr>
        <w:t>Ngày 28 tháng 10 năm 2025</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NGÔ THỊ THOA</w:t>
      </w:r>
      <w:r w:rsidR="0082245E">
        <w:rPr>
          <w:rFonts w:ascii="Times New Roman" w:hAnsi="Times New Roman"/>
          <w:b/>
          <w:sz w:val="24"/>
        </w:rPr>
        <w:t xml:space="preserve">  và DƯƠNG VĂN CHÍN</w:t>
      </w:r>
      <w:bookmarkStart w:id="0" w:name="_GoBack"/>
      <w:bookmarkEnd w:id="0"/>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229  Tờ bản đồ: 10</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99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Chín mươi chín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I 900449</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huyện Chí Linh, tỉnh Hải Dương cấp ngày 14/07/1999 vào sổ cấp số: Vào sổ cấp Giấy chứng nhận Quyền sử dụng đất số: 1527 QSDĐ/TH-CL</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bà Ngô Thị Thoa và ông Dương Văn Chín.</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 Chí Linh, Hải Dương (nay là phường Chu Văn An,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99m²;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I 900449 vào sổ cấp giấy chứng nhận số Vào sổ cấp Giấy chứng nhận Quyền sử dụng đất số: 1527 QSDĐ/TH-CL do UBND huyện Chí Linh, tỉnh Hải Dương. Cấp ngày: 14/07/1999</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99 m</w:t>
      </w:r>
      <w:r w:rsidRPr="0022117A">
        <w:rPr>
          <w:rFonts w:ascii="Times New Roman" w:hAnsi="Times New Roman"/>
          <w:sz w:val="24"/>
          <w:vertAlign w:val="superscript"/>
        </w:rPr>
        <w:t>2</w:t>
      </w:r>
      <w:r w:rsidRPr="0022117A">
        <w:rPr>
          <w:rFonts w:ascii="Times New Roman" w:hAnsi="Times New Roman"/>
          <w:sz w:val="24"/>
        </w:rPr>
        <w:t>;   Loại nhà: mái bằng;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4221"/>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AF28B-4B8B-49DE-BDC5-70B137AD5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2026-08-02T14:39:00Z</dcterms:modified>
  <cp:revision>14</cp:revision>
</cp:coreProperties>
</file>