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7BC3ADF" w14:textId="7B0541F9" w:rsidR="00DA7045" w:rsidRDefault="00DA7045" w:rsidP="007D2F29">
      <w:pPr>
        <w:pStyle w:val="ListParagraph"/>
        <w:numPr>
          <w:ilvl w:val="0"/>
          <w:numId w:val="7"/>
        </w:numPr>
        <w:rPr>
          <w:lang w:val="en-US"/>
        </w:rPr>
      </w:pPr>
      <w:r>
        <w:rPr>
          <w:lang w:val="en-US"/>
        </w:rPr>
        <w:t>Tập Đóng Và Tập Mở?</w:t>
      </w:r>
    </w:p>
    <w:p w14:paraId="68901EFD" w14:textId="1C7DA01C" w:rsidR="00DA7045" w:rsidRDefault="00DA7045"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rỗng và tập vũ trụ như tập số thực vừa là tập đóng, vừa là tập mở</w:t>
      </w:r>
    </w:p>
    <w:p w14:paraId="6F7129D4" w14:textId="1D253E0D" w:rsidR="00DA7045" w:rsidRDefault="00DA7045"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Giao của 2 tập mở là tập mở</w:t>
      </w:r>
    </w:p>
    <w:p w14:paraId="3732C74B" w14:textId="41029AA1" w:rsidR="00EF03DF" w:rsidRDefault="00EF03DF"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Phần bù của tập mở là tập đóng và ngược lại</w:t>
      </w:r>
    </w:p>
    <w:p w14:paraId="30B14075" w14:textId="3558E7DC" w:rsidR="00896201" w:rsidRPr="00896201" w:rsidRDefault="00896201" w:rsidP="008962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Nửa khoảng với cận vô cùng là tập đóng</w:t>
      </w:r>
    </w:p>
    <w:p w14:paraId="597FFC71" w14:textId="659C4C4C" w:rsidR="00B307D9" w:rsidRDefault="00B307D9" w:rsidP="007D2F29">
      <w:pPr>
        <w:pStyle w:val="ListParagraph"/>
        <w:numPr>
          <w:ilvl w:val="0"/>
          <w:numId w:val="7"/>
        </w:numPr>
        <w:rPr>
          <w:lang w:val="en-US"/>
        </w:rPr>
      </w:pPr>
      <w:r>
        <w:rPr>
          <w:lang w:val="en-US"/>
        </w:rPr>
        <w:t xml:space="preserve">Tập </w:t>
      </w:r>
      <w:r w:rsidR="00A37839">
        <w:rPr>
          <w:lang w:val="en-US"/>
        </w:rPr>
        <w:t>Bị Chặn?</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410D7E32" w14:textId="3882CE10" w:rsidR="002E0544" w:rsidRDefault="002E0544" w:rsidP="007D2F29">
      <w:pPr>
        <w:pStyle w:val="ListParagraph"/>
        <w:numPr>
          <w:ilvl w:val="0"/>
          <w:numId w:val="7"/>
        </w:numPr>
        <w:rPr>
          <w:lang w:val="en-US"/>
        </w:rPr>
      </w:pPr>
      <w:r>
        <w:rPr>
          <w:lang w:val="en-US"/>
        </w:rPr>
        <w:t>Tập Liên Thông?</w:t>
      </w:r>
    </w:p>
    <w:p w14:paraId="563AF4AF" w14:textId="7E0E7FEC" w:rsidR="002E0544" w:rsidRPr="002E0544" w:rsidRDefault="002E0544" w:rsidP="002E0544">
      <w:pPr>
        <w:pStyle w:val="ListParagraph"/>
        <w:numPr>
          <w:ilvl w:val="0"/>
          <w:numId w:val="3"/>
        </w:numPr>
        <w:rPr>
          <w:lang w:val="en-US"/>
        </w:rPr>
      </w:pPr>
      <w:r>
        <w:rPr>
          <w:lang w:val="en-US"/>
        </w:rPr>
        <w:t>Là tập không có lỗ trong nó</w:t>
      </w:r>
      <w:r w:rsidR="0065604D">
        <w:rPr>
          <w:lang w:val="en-US"/>
        </w:rPr>
        <w:t>, ví dụ miền tròn có lỗ ở giữa thì không liên thông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870F978"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lastRenderedPageBreak/>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lastRenderedPageBreak/>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lastRenderedPageBreak/>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lastRenderedPageBreak/>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lastRenderedPageBreak/>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lastRenderedPageBreak/>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lastRenderedPageBreak/>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lastRenderedPageBreak/>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lastRenderedPageBreak/>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lastRenderedPageBreak/>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lastRenderedPageBreak/>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lastRenderedPageBreak/>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lastRenderedPageBreak/>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lastRenderedPageBreak/>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lastRenderedPageBreak/>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lastRenderedPageBreak/>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lastRenderedPageBreak/>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9ABF" w14:textId="77777777" w:rsidR="00572287" w:rsidRDefault="00572287" w:rsidP="00343C98">
      <w:pPr>
        <w:spacing w:after="0" w:line="240" w:lineRule="auto"/>
      </w:pPr>
      <w:r>
        <w:separator/>
      </w:r>
    </w:p>
  </w:endnote>
  <w:endnote w:type="continuationSeparator" w:id="0">
    <w:p w14:paraId="52C763CF" w14:textId="77777777" w:rsidR="00572287" w:rsidRDefault="00572287"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6522" w14:textId="77777777" w:rsidR="00572287" w:rsidRDefault="00572287" w:rsidP="00343C98">
      <w:pPr>
        <w:spacing w:after="0" w:line="240" w:lineRule="auto"/>
      </w:pPr>
      <w:r>
        <w:separator/>
      </w:r>
    </w:p>
  </w:footnote>
  <w:footnote w:type="continuationSeparator" w:id="0">
    <w:p w14:paraId="439DF19A" w14:textId="77777777" w:rsidR="00572287" w:rsidRDefault="00572287"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1ED"/>
    <w:rsid w:val="00090D8E"/>
    <w:rsid w:val="00092929"/>
    <w:rsid w:val="000934DE"/>
    <w:rsid w:val="00095B1F"/>
    <w:rsid w:val="00096CEC"/>
    <w:rsid w:val="000A759C"/>
    <w:rsid w:val="000A767E"/>
    <w:rsid w:val="000B2D66"/>
    <w:rsid w:val="000B2E1A"/>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6560"/>
    <w:rsid w:val="0013130C"/>
    <w:rsid w:val="00134D64"/>
    <w:rsid w:val="0013531C"/>
    <w:rsid w:val="00136677"/>
    <w:rsid w:val="00141FB5"/>
    <w:rsid w:val="00142945"/>
    <w:rsid w:val="0014421D"/>
    <w:rsid w:val="0014492F"/>
    <w:rsid w:val="00146954"/>
    <w:rsid w:val="0015066A"/>
    <w:rsid w:val="00154109"/>
    <w:rsid w:val="00160205"/>
    <w:rsid w:val="00160A66"/>
    <w:rsid w:val="00161BD6"/>
    <w:rsid w:val="00162648"/>
    <w:rsid w:val="00162EB0"/>
    <w:rsid w:val="0016461C"/>
    <w:rsid w:val="00164791"/>
    <w:rsid w:val="001670D4"/>
    <w:rsid w:val="00170642"/>
    <w:rsid w:val="00171ACB"/>
    <w:rsid w:val="00175B36"/>
    <w:rsid w:val="001807B9"/>
    <w:rsid w:val="00180FF4"/>
    <w:rsid w:val="001830EC"/>
    <w:rsid w:val="00183DA3"/>
    <w:rsid w:val="001851EB"/>
    <w:rsid w:val="00185E61"/>
    <w:rsid w:val="001976E6"/>
    <w:rsid w:val="001A2B49"/>
    <w:rsid w:val="001A652E"/>
    <w:rsid w:val="001B6631"/>
    <w:rsid w:val="001B76D0"/>
    <w:rsid w:val="001B7C82"/>
    <w:rsid w:val="001C0B25"/>
    <w:rsid w:val="001C1BC0"/>
    <w:rsid w:val="001D31CA"/>
    <w:rsid w:val="001D5773"/>
    <w:rsid w:val="001D629E"/>
    <w:rsid w:val="001D7715"/>
    <w:rsid w:val="001D77AC"/>
    <w:rsid w:val="001F1694"/>
    <w:rsid w:val="001F35E5"/>
    <w:rsid w:val="001F48D4"/>
    <w:rsid w:val="001F680E"/>
    <w:rsid w:val="00203FA0"/>
    <w:rsid w:val="00204CB8"/>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544"/>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123A"/>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5068D"/>
    <w:rsid w:val="00462938"/>
    <w:rsid w:val="00467BB4"/>
    <w:rsid w:val="00477230"/>
    <w:rsid w:val="00483381"/>
    <w:rsid w:val="004838F6"/>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287"/>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0719"/>
    <w:rsid w:val="005D2D4A"/>
    <w:rsid w:val="005D7062"/>
    <w:rsid w:val="005D7EF8"/>
    <w:rsid w:val="005E0F8F"/>
    <w:rsid w:val="005E375E"/>
    <w:rsid w:val="005E3FED"/>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1656"/>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786D"/>
    <w:rsid w:val="008A0A81"/>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A00ED3"/>
    <w:rsid w:val="00A03704"/>
    <w:rsid w:val="00A06C67"/>
    <w:rsid w:val="00A07661"/>
    <w:rsid w:val="00A076AA"/>
    <w:rsid w:val="00A13C71"/>
    <w:rsid w:val="00A15F2E"/>
    <w:rsid w:val="00A2000A"/>
    <w:rsid w:val="00A27208"/>
    <w:rsid w:val="00A32576"/>
    <w:rsid w:val="00A32DCF"/>
    <w:rsid w:val="00A3311B"/>
    <w:rsid w:val="00A36FB4"/>
    <w:rsid w:val="00A37839"/>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07D9"/>
    <w:rsid w:val="00B3287F"/>
    <w:rsid w:val="00B37517"/>
    <w:rsid w:val="00B40B65"/>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440"/>
    <w:rsid w:val="00C24A17"/>
    <w:rsid w:val="00C24B79"/>
    <w:rsid w:val="00C26C70"/>
    <w:rsid w:val="00C30A9F"/>
    <w:rsid w:val="00C34028"/>
    <w:rsid w:val="00C414B7"/>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4CE5"/>
    <w:rsid w:val="00DD05F5"/>
    <w:rsid w:val="00DD6F63"/>
    <w:rsid w:val="00DD70E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71B63"/>
    <w:rsid w:val="00E77D2D"/>
    <w:rsid w:val="00E8146B"/>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57B08"/>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6354258</TotalTime>
  <Pages>30</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390</cp:revision>
  <dcterms:created xsi:type="dcterms:W3CDTF">2023-01-19T13:22:00Z</dcterms:created>
  <dcterms:modified xsi:type="dcterms:W3CDTF">2024-03-05T13:32:00Z</dcterms:modified>
</cp:coreProperties>
</file>