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lastRenderedPageBreak/>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lastRenderedPageBreak/>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lastRenderedPageBreak/>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lastRenderedPageBreak/>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lastRenderedPageBreak/>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lastRenderedPageBreak/>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lastRenderedPageBreak/>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lastRenderedPageBreak/>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lastRenderedPageBreak/>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w:t>
      </w:r>
      <w:r w:rsidR="00647824">
        <w:rPr>
          <w:lang w:val="en-US"/>
        </w:rPr>
        <w:t>–</w:t>
      </w:r>
      <w:r w:rsidR="00647824">
        <w:rPr>
          <w:lang w:val="en-US"/>
        </w:rPr>
        <w:t>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lastRenderedPageBreak/>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lastRenderedPageBreak/>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lastRenderedPageBreak/>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lastRenderedPageBreak/>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lastRenderedPageBreak/>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lastRenderedPageBreak/>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lastRenderedPageBreak/>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 xml:space="preserve">nếu </w:t>
      </w:r>
      <w:r w:rsidR="00261F4C">
        <w:rPr>
          <w:lang w:val="en-US"/>
        </w:rPr>
        <w:lastRenderedPageBreak/>
        <w:t>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lastRenderedPageBreak/>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lastRenderedPageBreak/>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lastRenderedPageBreak/>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77777777" w:rsidR="007F5911" w:rsidRDefault="007F5911">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lastRenderedPageBreak/>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lastRenderedPageBreak/>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21394" w14:textId="77777777" w:rsidR="001D77AC" w:rsidRDefault="001D77AC" w:rsidP="00343C98">
      <w:pPr>
        <w:spacing w:after="0" w:line="240" w:lineRule="auto"/>
      </w:pPr>
      <w:r>
        <w:separator/>
      </w:r>
    </w:p>
  </w:endnote>
  <w:endnote w:type="continuationSeparator" w:id="0">
    <w:p w14:paraId="4F7CE893" w14:textId="77777777" w:rsidR="001D77AC" w:rsidRDefault="001D77AC"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D53C" w14:textId="77777777" w:rsidR="001D77AC" w:rsidRDefault="001D77AC" w:rsidP="00343C98">
      <w:pPr>
        <w:spacing w:after="0" w:line="240" w:lineRule="auto"/>
      </w:pPr>
      <w:r>
        <w:separator/>
      </w:r>
    </w:p>
  </w:footnote>
  <w:footnote w:type="continuationSeparator" w:id="0">
    <w:p w14:paraId="7787326A" w14:textId="77777777" w:rsidR="001D77AC" w:rsidRDefault="001D77AC"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D8E"/>
    <w:rsid w:val="00092929"/>
    <w:rsid w:val="000934DE"/>
    <w:rsid w:val="00095B1F"/>
    <w:rsid w:val="00096CEC"/>
    <w:rsid w:val="000A759C"/>
    <w:rsid w:val="000A767E"/>
    <w:rsid w:val="000B2D66"/>
    <w:rsid w:val="000B2E1A"/>
    <w:rsid w:val="000C4C19"/>
    <w:rsid w:val="000C6A79"/>
    <w:rsid w:val="000D0C8C"/>
    <w:rsid w:val="000D2397"/>
    <w:rsid w:val="000D4133"/>
    <w:rsid w:val="000D71F4"/>
    <w:rsid w:val="000E4586"/>
    <w:rsid w:val="000F00AC"/>
    <w:rsid w:val="000F115E"/>
    <w:rsid w:val="000F17E8"/>
    <w:rsid w:val="00102681"/>
    <w:rsid w:val="00104919"/>
    <w:rsid w:val="001060EF"/>
    <w:rsid w:val="00106D93"/>
    <w:rsid w:val="00111442"/>
    <w:rsid w:val="001141C9"/>
    <w:rsid w:val="00114C14"/>
    <w:rsid w:val="00126560"/>
    <w:rsid w:val="00134D64"/>
    <w:rsid w:val="0013531C"/>
    <w:rsid w:val="00136677"/>
    <w:rsid w:val="00141FB5"/>
    <w:rsid w:val="00142945"/>
    <w:rsid w:val="0014421D"/>
    <w:rsid w:val="0014492F"/>
    <w:rsid w:val="0015066A"/>
    <w:rsid w:val="00154109"/>
    <w:rsid w:val="00160205"/>
    <w:rsid w:val="00160A66"/>
    <w:rsid w:val="00161BD6"/>
    <w:rsid w:val="00162648"/>
    <w:rsid w:val="00162EB0"/>
    <w:rsid w:val="0016461C"/>
    <w:rsid w:val="00164791"/>
    <w:rsid w:val="001670D4"/>
    <w:rsid w:val="00170642"/>
    <w:rsid w:val="00171ACB"/>
    <w:rsid w:val="00175B36"/>
    <w:rsid w:val="001807B9"/>
    <w:rsid w:val="00180FF4"/>
    <w:rsid w:val="00183DA3"/>
    <w:rsid w:val="001851EB"/>
    <w:rsid w:val="001976E6"/>
    <w:rsid w:val="001A2B49"/>
    <w:rsid w:val="001A652E"/>
    <w:rsid w:val="001B6631"/>
    <w:rsid w:val="001B76D0"/>
    <w:rsid w:val="001B7C82"/>
    <w:rsid w:val="001C0B25"/>
    <w:rsid w:val="001C1BC0"/>
    <w:rsid w:val="001D31CA"/>
    <w:rsid w:val="001D5773"/>
    <w:rsid w:val="001D7715"/>
    <w:rsid w:val="001D77AC"/>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E5BBC"/>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7275F"/>
    <w:rsid w:val="00575A03"/>
    <w:rsid w:val="005807AA"/>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D2D4A"/>
    <w:rsid w:val="005D7062"/>
    <w:rsid w:val="005D7EF8"/>
    <w:rsid w:val="005E0F8F"/>
    <w:rsid w:val="005E375E"/>
    <w:rsid w:val="005E49F9"/>
    <w:rsid w:val="005E5691"/>
    <w:rsid w:val="005F41C1"/>
    <w:rsid w:val="005F6C91"/>
    <w:rsid w:val="00602E6A"/>
    <w:rsid w:val="0060306E"/>
    <w:rsid w:val="00611243"/>
    <w:rsid w:val="00611F6B"/>
    <w:rsid w:val="00622562"/>
    <w:rsid w:val="006230BB"/>
    <w:rsid w:val="00623443"/>
    <w:rsid w:val="006263B0"/>
    <w:rsid w:val="00626981"/>
    <w:rsid w:val="006309FD"/>
    <w:rsid w:val="0063299A"/>
    <w:rsid w:val="00632C1B"/>
    <w:rsid w:val="00632DA0"/>
    <w:rsid w:val="00634174"/>
    <w:rsid w:val="006357C2"/>
    <w:rsid w:val="00635FEF"/>
    <w:rsid w:val="00636A55"/>
    <w:rsid w:val="0064010D"/>
    <w:rsid w:val="00640BA8"/>
    <w:rsid w:val="00643C70"/>
    <w:rsid w:val="00644E5E"/>
    <w:rsid w:val="00645395"/>
    <w:rsid w:val="00647824"/>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6DF"/>
    <w:rsid w:val="0076719A"/>
    <w:rsid w:val="00767B5E"/>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5911"/>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3BB6"/>
    <w:rsid w:val="008B4DFB"/>
    <w:rsid w:val="008B5ABC"/>
    <w:rsid w:val="008C2BCF"/>
    <w:rsid w:val="008C3E8A"/>
    <w:rsid w:val="008C4A28"/>
    <w:rsid w:val="008C7933"/>
    <w:rsid w:val="008D5204"/>
    <w:rsid w:val="008D5393"/>
    <w:rsid w:val="008D5A28"/>
    <w:rsid w:val="008D73E7"/>
    <w:rsid w:val="008E23AA"/>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58E1"/>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07661"/>
    <w:rsid w:val="00A076AA"/>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2CF2"/>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3ABB"/>
    <w:rsid w:val="00C24A17"/>
    <w:rsid w:val="00C24B79"/>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30E4"/>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6354032</TotalTime>
  <Pages>28</Pages>
  <Words>8273</Words>
  <Characters>47158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356</cp:revision>
  <dcterms:created xsi:type="dcterms:W3CDTF">2023-01-19T13:22:00Z</dcterms:created>
  <dcterms:modified xsi:type="dcterms:W3CDTF">2024-02-15T00:38:00Z</dcterms:modified>
</cp:coreProperties>
</file>