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lastRenderedPageBreak/>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4760AC">
      <w:pPr>
        <w:pStyle w:val="ListParagraph"/>
        <w:numPr>
          <w:ilvl w:val="0"/>
          <w:numId w:val="3"/>
        </w:numPr>
        <w:outlineLvl w:val="1"/>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lastRenderedPageBreak/>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w:t>
      </w:r>
      <w:r w:rsidR="0074302F">
        <w:rPr>
          <w:lang w:val="en-US"/>
        </w:rPr>
        <w:lastRenderedPageBreak/>
        <w:t xml:space="preserve">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 xml:space="preserve">Cho A là ma trận kích thước m x n bất kì trong trường số phức, </w:t>
      </w:r>
      <w:r>
        <w:rPr>
          <w:rFonts w:eastAsiaTheme="minorEastAsia"/>
          <w:lang w:val="en-US"/>
        </w:rPr>
        <w:t>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483D513E"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lưu ý sắp các Eigen Vector có Eigen Value khác 0 vào trước</w:t>
      </w:r>
      <w:r w:rsidR="001315FB">
        <w:rPr>
          <w:lang w:val="en-US"/>
        </w:rPr>
        <w:t xml:space="preserve"> bên trái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w:t>
      </w:r>
      <w:r w:rsidR="0048729B" w:rsidRPr="00FB7CC0">
        <w:rPr>
          <w:lang w:val="en-US"/>
        </w:rPr>
        <w:t>A*A</w:t>
      </w:r>
      <w:r w:rsidR="0048729B" w:rsidRPr="00FB7CC0">
        <w:rPr>
          <w:lang w:val="en-US"/>
        </w:rPr>
        <w:t xml:space="preserve">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lastRenderedPageBreak/>
        <w:t xml:space="preserve">Bước 3, tìm U kích thước m x m, tương tự như tìm V, </w:t>
      </w:r>
      <w:r>
        <w:rPr>
          <w:lang w:val="en-US"/>
        </w:rPr>
        <w:t>trước tiên tìm EVD của AA</w:t>
      </w:r>
      <w:r>
        <w:rPr>
          <w:lang w:val="en-US"/>
        </w:rPr>
        <w:t>*</w:t>
      </w:r>
      <w:r>
        <w:rPr>
          <w:lang w:val="en-US"/>
        </w:rPr>
        <w:t xml:space="preserve">, đây luôn là ma trận Hermitian, kích thước </w:t>
      </w:r>
      <w:r>
        <w:rPr>
          <w:lang w:val="en-US"/>
        </w:rPr>
        <w:t>m</w:t>
      </w:r>
      <w:r>
        <w:rPr>
          <w:lang w:val="en-US"/>
        </w:rPr>
        <w:t xml:space="preserve"> x </w:t>
      </w:r>
      <w:r>
        <w:rPr>
          <w:lang w:val="en-US"/>
        </w:rPr>
        <w:t>m</w:t>
      </w:r>
      <w:r>
        <w:rPr>
          <w:lang w:val="en-US"/>
        </w:rPr>
        <w:t xml:space="preserve">, nên ta luôn tìm được 1 bộ </w:t>
      </w:r>
      <w:r>
        <w:rPr>
          <w:lang w:val="en-US"/>
        </w:rPr>
        <w:t>m</w:t>
      </w:r>
      <w:r>
        <w:rPr>
          <w:lang w:val="en-US"/>
        </w:rPr>
        <w:t xml:space="preserve">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FB7CC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lastRenderedPageBreak/>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 xml:space="preserve">tất cả đường chéo dưới Offset n, với n từ k + 1 trở lên, đều chứa </w:t>
      </w:r>
      <w:r w:rsidR="0088611B">
        <w:rPr>
          <w:lang w:val="en-US"/>
        </w:rPr>
        <w:lastRenderedPageBreak/>
        <w:t>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lastRenderedPageBreak/>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lastRenderedPageBreak/>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lastRenderedPageBreak/>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lastRenderedPageBreak/>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lastRenderedPageBreak/>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w:t>
      </w:r>
      <w:r w:rsidR="007365D4">
        <w:rPr>
          <w:lang w:val="en-US"/>
        </w:rPr>
        <w:lastRenderedPageBreak/>
        <w:t xml:space="preserve">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lastRenderedPageBreak/>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lastRenderedPageBreak/>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12FB6"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F4DE4"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A71CBB"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C45B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A352DA"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15BF5BA9" w:rsidR="00C45B00" w:rsidRDefault="00C45B00" w:rsidP="0010215E">
      <w:pPr>
        <w:pStyle w:val="ListParagraph"/>
        <w:numPr>
          <w:ilvl w:val="0"/>
          <w:numId w:val="24"/>
        </w:numPr>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6A1157"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Pr>
          <w:rFonts w:eastAsiaTheme="minorEastAsia"/>
          <w:lang w:val="en-US"/>
        </w:rPr>
        <w:t xml:space="preserve"> </w:t>
      </w:r>
    </w:p>
    <w:p w14:paraId="1D031404" w14:textId="654E3990" w:rsidR="00617466" w:rsidRDefault="00617466" w:rsidP="0010215E">
      <w:pPr>
        <w:pStyle w:val="ListParagraph"/>
        <w:numPr>
          <w:ilvl w:val="0"/>
          <w:numId w:val="24"/>
        </w:numPr>
        <w:rPr>
          <w:lang w:val="en-US"/>
        </w:rPr>
      </w:pPr>
      <w:r>
        <w:rPr>
          <w:lang w:val="en-US"/>
        </w:rPr>
        <w:t>Matrix Norm?</w:t>
      </w:r>
    </w:p>
    <w:p w14:paraId="4A72D2FB" w14:textId="07F58493" w:rsidR="005B3EFF" w:rsidRDefault="005B3EFF" w:rsidP="00617466">
      <w:pPr>
        <w:pStyle w:val="ListParagraph"/>
        <w:numPr>
          <w:ilvl w:val="0"/>
          <w:numId w:val="21"/>
        </w:numPr>
        <w:rPr>
          <w:lang w:val="en-US"/>
        </w:rPr>
      </w:pPr>
      <w:r>
        <w:rPr>
          <w:lang w:val="en-US"/>
        </w:rPr>
        <w:t>Có 2 loại Matrix Norm, 1 là coi ma trận như 1 Vector, các Norm kiểu này gọi là Entry Wise Norm, 2 là coi ma trận như dãy các Vector, các Norm kiểu này gọi là Matrix Norm tạo ra từ Vector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CD3A7D"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r>
                          <w:rPr>
                            <w:rFonts w:ascii="Cambria Math" w:hAnsi="Cambria Math"/>
                            <w:lang w:val="en-US"/>
                          </w:rPr>
                          <m:t>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lastRenderedPageBreak/>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BE5496"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 xml:space="preserve"> = 1</m:t>
                                </m:r>
                              </m:sub>
                              <m:sup>
                                <m:r>
                                  <w:rPr>
                                    <w:rFonts w:ascii="Cambria Math" w:hAnsi="Cambria Math"/>
                                    <w:lang w:val="en-US"/>
                                  </w:rPr>
                                  <m:t>i</m:t>
                                </m:r>
                                <m:r>
                                  <w:rPr>
                                    <w:rFonts w:ascii="Cambria Math" w:hAnsi="Cambria Math"/>
                                    <w:lang w:val="en-US"/>
                                  </w:rPr>
                                  <m:t xml:space="preserve"> = </m:t>
                                </m:r>
                                <m:r>
                                  <w:rPr>
                                    <w:rFonts w:ascii="Cambria Math" w:hAnsi="Cambria Math"/>
                                    <w:lang w:val="en-US"/>
                                  </w:rPr>
                                  <m:t>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BB5F59">
      <w:pPr>
        <w:pStyle w:val="ListParagraph"/>
        <w:numPr>
          <w:ilvl w:val="0"/>
          <w:numId w:val="24"/>
        </w:numPr>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255F22"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w:t>
      </w:r>
      <w:r>
        <w:rPr>
          <w:lang w:val="en-US"/>
        </w:rPr>
        <w:t>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xml:space="preserve">, </w:t>
      </w:r>
      <w:r w:rsidR="00B11D7D">
        <w:rPr>
          <w:lang w:val="en-US"/>
        </w:rPr>
        <w:t xml:space="preserve">khi này </w:t>
      </w:r>
      <w:r w:rsidR="00B11D7D">
        <w:rPr>
          <w:lang w:val="en-US"/>
        </w:rPr>
        <w:t>Max</w:t>
      </w:r>
      <w:r w:rsidR="00B11D7D">
        <w:rPr>
          <w:lang w:val="en-US"/>
        </w:rPr>
        <w:t xml:space="preserve"> Norm của nó = Module của phần tử có Module lớn nhất trong nó</w:t>
      </w:r>
    </w:p>
    <w:p w14:paraId="4233AA7F" w14:textId="4E6CBB93" w:rsidR="00B11D7D" w:rsidRDefault="00B11D7D"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r>
                  <w:rPr>
                    <w:rFonts w:ascii="Cambria Math" w:hAnsi="Cambria Math"/>
                    <w:lang w:val="en-US"/>
                  </w:rPr>
                  <m:t>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r>
                      <w:rPr>
                        <w:rFonts w:ascii="Cambria Math" w:hAnsi="Cambria Math"/>
                        <w:lang w:val="en-US"/>
                      </w:rPr>
                      <m:t>j</m:t>
                    </m:r>
                  </m:sub>
                </m:sSub>
              </m:e>
            </m:d>
          </m:e>
        </m:func>
      </m:oMath>
      <w:r>
        <w:rPr>
          <w:rFonts w:eastAsiaTheme="minorEastAsia"/>
          <w:lang w:val="en-US"/>
        </w:rPr>
        <w:t xml:space="preserve"> </w:t>
      </w:r>
    </w:p>
    <w:p w14:paraId="6C2E5447" w14:textId="7C7AD6BE" w:rsidR="0031108D" w:rsidRDefault="00CD5450" w:rsidP="0074357E">
      <w:pPr>
        <w:pStyle w:val="ListParagraph"/>
        <w:numPr>
          <w:ilvl w:val="0"/>
          <w:numId w:val="24"/>
        </w:numPr>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 xml:space="preserve">ma trận A </w:t>
      </w:r>
      <w:r w:rsidR="00CD5450">
        <w:rPr>
          <w:lang w:val="en-US"/>
        </w:rPr>
        <w:t>kích thước m x n trong trường số phức</w:t>
      </w:r>
      <w:r w:rsidR="006D49C1">
        <w:rPr>
          <w:lang w:val="en-US"/>
        </w:rPr>
        <w:t>, s là các Singular Value của A</w:t>
      </w:r>
    </w:p>
    <w:p w14:paraId="4E074390" w14:textId="59166573" w:rsidR="00CD5450" w:rsidRPr="006D49C1" w:rsidRDefault="00CD545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6D49C1"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Pr="00733984" w:rsidRDefault="00C33713" w:rsidP="0073398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m:t>
        </m:r>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lang w:val="en-US"/>
          </w:rPr>
          <m:t>0</m:t>
        </m:r>
      </m:oMath>
      <w:r>
        <w:rPr>
          <w:rFonts w:eastAsiaTheme="minorEastAsia"/>
          <w:lang w:val="en-US"/>
        </w:rPr>
        <w:t xml:space="preserve"> </w:t>
      </w:r>
    </w:p>
    <w:p w14:paraId="77C1FD77" w14:textId="77777777" w:rsidR="0074357E" w:rsidRDefault="0074357E"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lastRenderedPageBreak/>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lastRenderedPageBreak/>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lastRenderedPageBreak/>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lastRenderedPageBreak/>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88FF0"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7E14"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01901"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B588D"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EC9AD"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4E7AC"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B6508"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1DB23"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6A8E6"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2A25E"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5A2F5"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AE08"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4E7F0"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89B58"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21B8F"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7D7F8"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BBB0"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w:lastRenderedPageBreak/>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2FB6"/>
    <w:rsid w:val="00013125"/>
    <w:rsid w:val="0001414C"/>
    <w:rsid w:val="00015965"/>
    <w:rsid w:val="00021F88"/>
    <w:rsid w:val="0002328F"/>
    <w:rsid w:val="00026035"/>
    <w:rsid w:val="0004291D"/>
    <w:rsid w:val="0004379D"/>
    <w:rsid w:val="0004395F"/>
    <w:rsid w:val="000448C9"/>
    <w:rsid w:val="000477B5"/>
    <w:rsid w:val="0004783F"/>
    <w:rsid w:val="00047A96"/>
    <w:rsid w:val="00053EDA"/>
    <w:rsid w:val="00054EB9"/>
    <w:rsid w:val="000646F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66BC"/>
    <w:rsid w:val="00125414"/>
    <w:rsid w:val="001273BB"/>
    <w:rsid w:val="00127D12"/>
    <w:rsid w:val="001310FA"/>
    <w:rsid w:val="001315FB"/>
    <w:rsid w:val="00135A7D"/>
    <w:rsid w:val="00136FA2"/>
    <w:rsid w:val="0013703D"/>
    <w:rsid w:val="001404BB"/>
    <w:rsid w:val="00141178"/>
    <w:rsid w:val="0014260C"/>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0B17"/>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72458"/>
    <w:rsid w:val="00273BE8"/>
    <w:rsid w:val="00275131"/>
    <w:rsid w:val="0027521A"/>
    <w:rsid w:val="00280BBF"/>
    <w:rsid w:val="00281576"/>
    <w:rsid w:val="002857A4"/>
    <w:rsid w:val="002858F1"/>
    <w:rsid w:val="00291A9D"/>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5043"/>
    <w:rsid w:val="00325768"/>
    <w:rsid w:val="00325986"/>
    <w:rsid w:val="00332E68"/>
    <w:rsid w:val="003330E0"/>
    <w:rsid w:val="00333BEB"/>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4F09"/>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4325"/>
    <w:rsid w:val="0048729B"/>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5660"/>
    <w:rsid w:val="00595BBF"/>
    <w:rsid w:val="00595E41"/>
    <w:rsid w:val="005971EB"/>
    <w:rsid w:val="005A3FF1"/>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4B5C"/>
    <w:rsid w:val="00630356"/>
    <w:rsid w:val="00633ED8"/>
    <w:rsid w:val="006349FB"/>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A1157"/>
    <w:rsid w:val="006A11C6"/>
    <w:rsid w:val="006A3094"/>
    <w:rsid w:val="006A5FDF"/>
    <w:rsid w:val="006A7278"/>
    <w:rsid w:val="006B1E21"/>
    <w:rsid w:val="006B32E4"/>
    <w:rsid w:val="006B4B4B"/>
    <w:rsid w:val="006B6182"/>
    <w:rsid w:val="006C2804"/>
    <w:rsid w:val="006C4965"/>
    <w:rsid w:val="006C54C0"/>
    <w:rsid w:val="006C74DB"/>
    <w:rsid w:val="006D0F7C"/>
    <w:rsid w:val="006D1AFD"/>
    <w:rsid w:val="006D26A8"/>
    <w:rsid w:val="006D3D45"/>
    <w:rsid w:val="006D49C1"/>
    <w:rsid w:val="006E18E1"/>
    <w:rsid w:val="006E40F3"/>
    <w:rsid w:val="006E4C3C"/>
    <w:rsid w:val="006E7390"/>
    <w:rsid w:val="006E7B15"/>
    <w:rsid w:val="006F148C"/>
    <w:rsid w:val="006F321D"/>
    <w:rsid w:val="006F4311"/>
    <w:rsid w:val="006F6654"/>
    <w:rsid w:val="00713C35"/>
    <w:rsid w:val="00715F20"/>
    <w:rsid w:val="00716480"/>
    <w:rsid w:val="007176BB"/>
    <w:rsid w:val="00720136"/>
    <w:rsid w:val="007215FF"/>
    <w:rsid w:val="007224D2"/>
    <w:rsid w:val="00723112"/>
    <w:rsid w:val="0073318D"/>
    <w:rsid w:val="00733984"/>
    <w:rsid w:val="007365D4"/>
    <w:rsid w:val="0074100A"/>
    <w:rsid w:val="0074302F"/>
    <w:rsid w:val="0074357E"/>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429E9"/>
    <w:rsid w:val="00945534"/>
    <w:rsid w:val="00950D2A"/>
    <w:rsid w:val="009533CE"/>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2D0D"/>
    <w:rsid w:val="009A7F1E"/>
    <w:rsid w:val="009B1C70"/>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20C2B"/>
    <w:rsid w:val="00A2110D"/>
    <w:rsid w:val="00A21408"/>
    <w:rsid w:val="00A21BCD"/>
    <w:rsid w:val="00A21E0C"/>
    <w:rsid w:val="00A21E0E"/>
    <w:rsid w:val="00A228BC"/>
    <w:rsid w:val="00A23FA0"/>
    <w:rsid w:val="00A2488C"/>
    <w:rsid w:val="00A27052"/>
    <w:rsid w:val="00A278A2"/>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82378"/>
    <w:rsid w:val="00A825CB"/>
    <w:rsid w:val="00A8463B"/>
    <w:rsid w:val="00A8513C"/>
    <w:rsid w:val="00A8639B"/>
    <w:rsid w:val="00A903D4"/>
    <w:rsid w:val="00A9102D"/>
    <w:rsid w:val="00A915F4"/>
    <w:rsid w:val="00A931D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08A2"/>
    <w:rsid w:val="00B11D7D"/>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51B7"/>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18CB"/>
    <w:rsid w:val="00BA3803"/>
    <w:rsid w:val="00BA63F3"/>
    <w:rsid w:val="00BA6836"/>
    <w:rsid w:val="00BA69C8"/>
    <w:rsid w:val="00BA6C90"/>
    <w:rsid w:val="00BB2220"/>
    <w:rsid w:val="00BB2CDA"/>
    <w:rsid w:val="00BB53F3"/>
    <w:rsid w:val="00BB5887"/>
    <w:rsid w:val="00BB5B03"/>
    <w:rsid w:val="00BB5F59"/>
    <w:rsid w:val="00BB7D76"/>
    <w:rsid w:val="00BC13A8"/>
    <w:rsid w:val="00BC1C06"/>
    <w:rsid w:val="00BD3619"/>
    <w:rsid w:val="00BE0C49"/>
    <w:rsid w:val="00BE224A"/>
    <w:rsid w:val="00BE4737"/>
    <w:rsid w:val="00BE4C96"/>
    <w:rsid w:val="00BE54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3713"/>
    <w:rsid w:val="00C36626"/>
    <w:rsid w:val="00C3797A"/>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E6"/>
    <w:rsid w:val="00D67D2B"/>
    <w:rsid w:val="00D67E70"/>
    <w:rsid w:val="00D70E70"/>
    <w:rsid w:val="00D710F0"/>
    <w:rsid w:val="00D72021"/>
    <w:rsid w:val="00D74780"/>
    <w:rsid w:val="00D77888"/>
    <w:rsid w:val="00D85292"/>
    <w:rsid w:val="00D87396"/>
    <w:rsid w:val="00D90CBD"/>
    <w:rsid w:val="00D976C3"/>
    <w:rsid w:val="00DA22D3"/>
    <w:rsid w:val="00DA3624"/>
    <w:rsid w:val="00DA4803"/>
    <w:rsid w:val="00DA4A46"/>
    <w:rsid w:val="00DB498F"/>
    <w:rsid w:val="00DB55D2"/>
    <w:rsid w:val="00DC038D"/>
    <w:rsid w:val="00DC202C"/>
    <w:rsid w:val="00DC2FA3"/>
    <w:rsid w:val="00DC4464"/>
    <w:rsid w:val="00DC757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E00BE7"/>
    <w:rsid w:val="00E047C6"/>
    <w:rsid w:val="00E04F02"/>
    <w:rsid w:val="00E071F3"/>
    <w:rsid w:val="00E10339"/>
    <w:rsid w:val="00E15F98"/>
    <w:rsid w:val="00E21D38"/>
    <w:rsid w:val="00E2703B"/>
    <w:rsid w:val="00E27777"/>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42C3"/>
    <w:rsid w:val="00E839C1"/>
    <w:rsid w:val="00E86902"/>
    <w:rsid w:val="00E871FD"/>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1724"/>
    <w:rsid w:val="00ED3462"/>
    <w:rsid w:val="00ED3AC9"/>
    <w:rsid w:val="00ED64EB"/>
    <w:rsid w:val="00EE0EA6"/>
    <w:rsid w:val="00EE3899"/>
    <w:rsid w:val="00EE464B"/>
    <w:rsid w:val="00EE4C35"/>
    <w:rsid w:val="00EE63B0"/>
    <w:rsid w:val="00EF0410"/>
    <w:rsid w:val="00EF446B"/>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1BE7"/>
    <w:rsid w:val="00F41E64"/>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45DE"/>
    <w:rsid w:val="00F977C8"/>
    <w:rsid w:val="00FA65A2"/>
    <w:rsid w:val="00FA68CD"/>
    <w:rsid w:val="00FB2467"/>
    <w:rsid w:val="00FB279B"/>
    <w:rsid w:val="00FB41CE"/>
    <w:rsid w:val="00FB5AC5"/>
    <w:rsid w:val="00FB7060"/>
    <w:rsid w:val="00FB7CC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6775</TotalTime>
  <Pages>45</Pages>
  <Words>11688</Words>
  <Characters>66622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578</cp:revision>
  <dcterms:created xsi:type="dcterms:W3CDTF">2022-12-24T03:07:00Z</dcterms:created>
  <dcterms:modified xsi:type="dcterms:W3CDTF">2024-03-09T03:16:00Z</dcterms:modified>
</cp:coreProperties>
</file>