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7830"/>
        <w:tblGridChange w:id="0">
          <w:tblGrid>
            <w:gridCol w:w="2430"/>
            <w:gridCol w:w="7830"/>
          </w:tblGrid>
        </w:tblGridChange>
      </w:tblGrid>
      <w:tr>
        <w:trPr>
          <w:cantSplit w:val="0"/>
          <w:trHeight w:val="1035" w:hRule="atLeast"/>
          <w:tblHeader w:val="0"/>
        </w:trPr>
        <w:tc>
          <w:tcPr>
            <w:tcMar>
              <w:top w:w="60.0" w:type="dxa"/>
              <w:left w:w="100.0" w:type="dxa"/>
              <w:bottom w:w="6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CHÍNH PHỦ</w:t>
              <w:br w:type="textWrapping"/>
              <w:t xml:space="preserve">********</w:t>
            </w:r>
          </w:p>
        </w:tc>
        <w:tc>
          <w:tcPr>
            <w:tcMar>
              <w:top w:w="60.0" w:type="dxa"/>
              <w:left w:w="100.0" w:type="dxa"/>
              <w:bottom w:w="6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HOÀ XÃ HỘI CHỦ NGHĨA VIỆT NAM</w:t>
              <w:br w:type="textWrapping"/>
              <w:t xml:space="preserve">Độc lập - Tự do - Hạnh phúc</w:t>
              <w:br w:type="textWrapping"/>
              <w:t xml:space="preserve">********</w:t>
            </w:r>
          </w:p>
        </w:tc>
      </w:tr>
      <w:tr>
        <w:trPr>
          <w:cantSplit w:val="0"/>
          <w:trHeight w:val="585" w:hRule="atLeast"/>
          <w:tblHeader w:val="0"/>
        </w:trPr>
        <w:tc>
          <w:tcPr>
            <w:tcMar>
              <w:top w:w="60.0" w:type="dxa"/>
              <w:left w:w="100.0" w:type="dxa"/>
              <w:bottom w:w="6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73-CP</w:t>
            </w:r>
          </w:p>
        </w:tc>
        <w:tc>
          <w:tcPr>
            <w:tcMar>
              <w:top w:w="60.0" w:type="dxa"/>
              <w:left w:w="100.0" w:type="dxa"/>
              <w:bottom w:w="6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25 tháng 10 năm 1993</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CHÍNH PHỦ SỐ 73-CP NGÀY 25-10-1993 QUY ĐỊNH CHI TIẾT VIỆC PHÂN HẠNG ĐẤT TÍNH THUẾ SỬ DỤNG ĐẤT NÔNG NGHIỆP</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PHỦ</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6">
        <w:r w:rsidDel="00000000" w:rsidR="00000000" w:rsidRPr="00000000">
          <w:rPr>
            <w:rFonts w:ascii="Times New Roman" w:cs="Times New Roman" w:eastAsia="Times New Roman" w:hAnsi="Times New Roman"/>
            <w:i w:val="1"/>
            <w:iCs w:val="1"/>
            <w:color w:val="0e70c3"/>
            <w:sz w:val="18"/>
            <w:szCs w:val="18"/>
            <w:rtl w:val="0"/>
          </w:rPr>
          <w:t xml:space="preserve">Luật Tổ chức Chính phủ</w:t>
        </w:r>
      </w:hyperlink>
      <w:r w:rsidDel="00000000" w:rsidR="00000000" w:rsidRPr="00000000">
        <w:rPr>
          <w:rFonts w:ascii="Times New Roman" w:cs="Times New Roman" w:eastAsia="Times New Roman" w:hAnsi="Times New Roman"/>
          <w:i w:val="1"/>
          <w:iCs w:val="1"/>
          <w:sz w:val="18"/>
          <w:szCs w:val="18"/>
          <w:rtl w:val="0"/>
        </w:rPr>
        <w:t xml:space="preserve"> ngày 30 tháng 9 năm 1992;</w:t>
        <w:br w:type="textWrapping"/>
        <w:t xml:space="preserve">Căn cứ </w:t>
      </w:r>
      <w:hyperlink r:id="rId7">
        <w:r w:rsidDel="00000000" w:rsidR="00000000" w:rsidRPr="00000000">
          <w:rPr>
            <w:rFonts w:ascii="Times New Roman" w:cs="Times New Roman" w:eastAsia="Times New Roman" w:hAnsi="Times New Roman"/>
            <w:i w:val="1"/>
            <w:iCs w:val="1"/>
            <w:color w:val="0e70c3"/>
            <w:sz w:val="18"/>
            <w:szCs w:val="18"/>
            <w:rtl w:val="0"/>
          </w:rPr>
          <w:t xml:space="preserve">Luật Thuế sử dụng đất nông nghiệp</w:t>
        </w:r>
      </w:hyperlink>
      <w:r w:rsidDel="00000000" w:rsidR="00000000" w:rsidRPr="00000000">
        <w:rPr>
          <w:rFonts w:ascii="Times New Roman" w:cs="Times New Roman" w:eastAsia="Times New Roman" w:hAnsi="Times New Roman"/>
          <w:i w:val="1"/>
          <w:iCs w:val="1"/>
          <w:sz w:val="18"/>
          <w:szCs w:val="18"/>
          <w:rtl w:val="0"/>
        </w:rPr>
        <w:t xml:space="preserve"> được Quốc hội nước Cộng hoà xã hội chủ nghĩa Việt Nam khoá IX thông qua ngày 10 tháng 7 năm 1993;</w:t>
        <w:br w:type="textWrapping"/>
        <w:t xml:space="preserve">Theo đề nghị của Bộ trưởng Bộ Tài chính, Bộ trưởng Bộ Nông nghiệp và Công nghiệp thực phẩm và Tổng cục trưởng Tổng cục Quản lý ruộng đất,</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1.</w:t>
      </w:r>
      <w:r w:rsidDel="00000000" w:rsidR="00000000" w:rsidRPr="00000000">
        <w:rPr>
          <w:rFonts w:ascii="Times New Roman" w:cs="Times New Roman" w:eastAsia="Times New Roman" w:hAnsi="Times New Roman"/>
          <w:sz w:val="18"/>
          <w:szCs w:val="18"/>
          <w:rtl w:val="0"/>
        </w:rPr>
        <w:t xml:space="preserve"> - Căn cứ để phân hạng đất tính thuế sử dụng đất nông nghiệp là các yếu tố chất đất, vị trí, địa hình, điều kiện khí hậu, thời tiết và điều kiện tưới tiêu. Tiêu chuẩn của từng yếu tố được xác định như sau :</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Yếu tố chất đất là độ phì của đất thích hợp với từng loại cây trồng; đối với đất có mặt nước nuôi trồng thuỷ sản còn bao gồm độ muối và nguồn dinh dưỡng của nước.</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Yếu tố vị trí của đất là khoảng cách so với nơi cư trú của người sử dụng đất, khoảng cách so với thị trường tiêu thụ nông sản phẩm theo từng trường hợp cụ thể.</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Yếu tố địa hình của đất là độ bằng phẳng, độ dốc, độ trũng hoặc ngập úng của mảnh đất.</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Yếu tố điều kiện khí hậu, thời tiết là nhiệt độ trung bình hàng năm và các tháng trong năm; lượng mưa trung bình hàng năm và các tháng trong năm; số tháng khô hạn trong năm; tần suất xuất hiện lũ, bão, sương muối, gió khô nóng trong năm và từng tháng; độ ẩm ảnh hưởng đến sinh trưởng của cây trồng.</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Yếu tố điều kiện tưới tiêu đối với đất trồng cây hàng năm là mức độ tưới tiêu chủ động; đối với đất trồng cây lâu năm là mức độ gần, xa nguồn nước hoặc không có nguồn nước và điều kiện thoát nước.</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chuẩn cụ thể của từng yếu tố để phân hạng đất tính thuế đối với các loại cây trồng chính được ban hành kèm theo Nghị định này.</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2</w:t>
      </w:r>
      <w:r w:rsidDel="00000000" w:rsidR="00000000" w:rsidRPr="00000000">
        <w:rPr>
          <w:rFonts w:ascii="Times New Roman" w:cs="Times New Roman" w:eastAsia="Times New Roman" w:hAnsi="Times New Roman"/>
          <w:sz w:val="18"/>
          <w:szCs w:val="18"/>
          <w:rtl w:val="0"/>
        </w:rPr>
        <w:t xml:space="preserve">.- Việc phân hạng đất tính thuế đối với các cây trồng chính được qui định như sau:</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Đối với đất trồng cây hàng năm thì phân hạng đất tính thuế theo đất trồng lúa; dựa vào tiêu chuẩn của 5 yếu tố qui định tại Điều 1 của Nghị định này có tham khảo năng suất bình quân đạt được trong điều kiện canh tác bình thường của 5 năm (1986-1990).</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Đối với đất có mặt nước nuôi trồng thuỷ sản nằm trong vùng đất trồng cây hàng năm, thì thực hiện phân hạng đất tính thuế như đất trồng cây hàng năm.</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Đối với đất có mặt nước mặn, lợ chuyên dùng vào nuôi trồng thuỷ sản phải căn cứ vào chất đất, khí hậu thời tiết, vị trí, địa hình và điều kiện cấp thoát nước, có tham khảo năng suất bình quân đạt được trong điều kiện canh tác bình thường của năm (1986-1990) hoặc của các năm gần nhất.</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Đối với đất trồng cỏ dùng vào chăn nuôi thì phân hạng đất theo đất trồng cây hàng năm.</w:t>
      </w:r>
    </w:p>
    <w:p w:rsidR="00000000" w:rsidDel="00000000" w:rsidP="00000000" w:rsidRDefault="00000000" w:rsidRPr="00000000" w14:paraId="000000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Đối với đất trồng cây lâu năm (trừ đất trồng các loại cây lâu năm thu hoạch một lần như gỗ, tre, nứa, song, mây...) thì dựa vào tiêu chuẩn của các yếu tố để phân hạng đất tính thuế.</w:t>
      </w:r>
    </w:p>
    <w:p w:rsidR="00000000" w:rsidDel="00000000" w:rsidP="00000000" w:rsidRDefault="00000000" w:rsidRPr="00000000" w14:paraId="000000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Riêng đối với đất trồng các loại cây lâu năm thu hoạch một lần thì không phân hạng đất, khi có thu hoạch sẽ thực hiện việc thu thuế 4% giá trị sản lượng khai thác.</w:t>
      </w:r>
    </w:p>
    <w:p w:rsidR="00000000" w:rsidDel="00000000" w:rsidP="00000000" w:rsidRDefault="00000000" w:rsidRPr="00000000" w14:paraId="000000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3.-</w:t>
      </w:r>
      <w:r w:rsidDel="00000000" w:rsidR="00000000" w:rsidRPr="00000000">
        <w:rPr>
          <w:rFonts w:ascii="Times New Roman" w:cs="Times New Roman" w:eastAsia="Times New Roman" w:hAnsi="Times New Roman"/>
          <w:sz w:val="18"/>
          <w:szCs w:val="18"/>
          <w:rtl w:val="0"/>
        </w:rPr>
        <w:t xml:space="preserve"> Căn cứ tiêu chuẩn hạng đất tính thuế, Bộ Tài chính thống nhất với Bộ Nông nghiệp và Công nghiệp thực phẩm, Tổng cục Quản lý ruộng đất, xác định tiêu chuẩn hạng đất đến huyện, quận, thị xã, thành phố thuộc tỉnh làm cơ sở cho việc phân hạng đất tính thuế của từng địa phương.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tbl>
      <w:tblPr>
        <w:tblStyle w:val="Table2"/>
        <w:tblW w:w="946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5100"/>
        <w:tblGridChange w:id="0">
          <w:tblGrid>
            <w:gridCol w:w="4365"/>
            <w:gridCol w:w="5100"/>
          </w:tblGrid>
        </w:tblGridChange>
      </w:tblGrid>
      <w:tr>
        <w:trPr>
          <w:cantSplit w:val="0"/>
          <w:trHeight w:val="1035" w:hRule="atLeast"/>
          <w:tblHeader w:val="0"/>
        </w:trPr>
        <w:tc>
          <w:tcPr>
            <w:tcMar>
              <w:top w:w="60.0" w:type="dxa"/>
              <w:left w:w="100.0" w:type="dxa"/>
              <w:bottom w:w="60.0" w:type="dxa"/>
              <w:right w:w="100.0" w:type="dxa"/>
            </w:tcMar>
            <w:vAlign w:val="top"/>
          </w:tcPr>
          <w:p w:rsidR="00000000" w:rsidDel="00000000" w:rsidP="00000000" w:rsidRDefault="00000000" w:rsidRPr="00000000" w14:paraId="0000001C">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CHÍNH PHỦ</w:t>
              <w:br w:type="textWrapping"/>
              <w:t xml:space="preserve">********</w:t>
            </w:r>
          </w:p>
        </w:tc>
        <w:tc>
          <w:tcPr>
            <w:tcMar>
              <w:top w:w="60.0" w:type="dxa"/>
              <w:left w:w="100.0" w:type="dxa"/>
              <w:bottom w:w="60.0" w:type="dxa"/>
              <w:right w:w="100.0" w:type="dxa"/>
            </w:tcMar>
            <w:vAlign w:val="top"/>
          </w:tcPr>
          <w:p w:rsidR="00000000" w:rsidDel="00000000" w:rsidP="00000000" w:rsidRDefault="00000000" w:rsidRPr="00000000" w14:paraId="0000001D">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HOÀ XÃ HỘI CHỦ NGHĨA VIỆT NAM</w:t>
              <w:br w:type="textWrapping"/>
              <w:t xml:space="preserve">Độc lập - Tự do - Hạnh phúc</w:t>
              <w:br w:type="textWrapping"/>
              <w:t xml:space="preserve">********</w:t>
            </w:r>
          </w:p>
        </w:tc>
      </w:tr>
      <w:tr>
        <w:trPr>
          <w:cantSplit w:val="0"/>
          <w:trHeight w:val="585" w:hRule="atLeast"/>
          <w:tblHeader w:val="0"/>
        </w:trPr>
        <w:tc>
          <w:tcPr>
            <w:tcMar>
              <w:top w:w="60.0" w:type="dxa"/>
              <w:left w:w="100.0" w:type="dxa"/>
              <w:bottom w:w="60.0" w:type="dxa"/>
              <w:right w:w="100.0" w:type="dxa"/>
            </w:tcMar>
            <w:vAlign w:val="top"/>
          </w:tcPr>
          <w:p w:rsidR="00000000" w:rsidDel="00000000" w:rsidP="00000000" w:rsidRDefault="00000000" w:rsidRPr="00000000" w14:paraId="0000001E">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73-CP</w:t>
            </w:r>
          </w:p>
        </w:tc>
        <w:tc>
          <w:tcPr>
            <w:tcMar>
              <w:top w:w="60.0" w:type="dxa"/>
              <w:left w:w="100.0" w:type="dxa"/>
              <w:bottom w:w="60.0" w:type="dxa"/>
              <w:right w:w="100.0" w:type="dxa"/>
            </w:tcMar>
            <w:vAlign w:val="top"/>
          </w:tcPr>
          <w:p w:rsidR="00000000" w:rsidDel="00000000" w:rsidP="00000000" w:rsidRDefault="00000000" w:rsidRPr="00000000" w14:paraId="0000001F">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25 tháng 10 năm 1993</w:t>
            </w:r>
          </w:p>
        </w:tc>
      </w:tr>
    </w:tbl>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CHÍNH PHỦ SỐ 73-CP NGÀY 25-10-1993 QUY ĐỊNH CHI TIẾT VIỆC PHÂN HẠNG ĐẤT TÍNH THUẾ SỬ DỤNG ĐẤT NÔNG NGHIỆP</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PHỦ</w:t>
      </w:r>
    </w:p>
    <w:p w:rsidR="00000000" w:rsidDel="00000000" w:rsidP="00000000" w:rsidRDefault="00000000" w:rsidRPr="00000000" w14:paraId="000000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8">
        <w:r w:rsidDel="00000000" w:rsidR="00000000" w:rsidRPr="00000000">
          <w:rPr>
            <w:rFonts w:ascii="Times New Roman" w:cs="Times New Roman" w:eastAsia="Times New Roman" w:hAnsi="Times New Roman"/>
            <w:i w:val="1"/>
            <w:iCs w:val="1"/>
            <w:color w:val="0e70c3"/>
            <w:sz w:val="18"/>
            <w:szCs w:val="18"/>
            <w:rtl w:val="0"/>
          </w:rPr>
          <w:t xml:space="preserve">Luật Tổ chức Chính phủ</w:t>
        </w:r>
      </w:hyperlink>
      <w:r w:rsidDel="00000000" w:rsidR="00000000" w:rsidRPr="00000000">
        <w:rPr>
          <w:rFonts w:ascii="Times New Roman" w:cs="Times New Roman" w:eastAsia="Times New Roman" w:hAnsi="Times New Roman"/>
          <w:i w:val="1"/>
          <w:iCs w:val="1"/>
          <w:sz w:val="18"/>
          <w:szCs w:val="18"/>
          <w:rtl w:val="0"/>
        </w:rPr>
        <w:t xml:space="preserve"> ngày 30 tháng 9 năm 1992;</w:t>
        <w:br w:type="textWrapping"/>
        <w:t xml:space="preserve">Căn cứ </w:t>
      </w:r>
      <w:hyperlink r:id="rId9">
        <w:r w:rsidDel="00000000" w:rsidR="00000000" w:rsidRPr="00000000">
          <w:rPr>
            <w:rFonts w:ascii="Times New Roman" w:cs="Times New Roman" w:eastAsia="Times New Roman" w:hAnsi="Times New Roman"/>
            <w:i w:val="1"/>
            <w:iCs w:val="1"/>
            <w:color w:val="0e70c3"/>
            <w:sz w:val="18"/>
            <w:szCs w:val="18"/>
            <w:rtl w:val="0"/>
          </w:rPr>
          <w:t xml:space="preserve">Luật Thuế sử dụng đất nông nghiệp</w:t>
        </w:r>
      </w:hyperlink>
      <w:r w:rsidDel="00000000" w:rsidR="00000000" w:rsidRPr="00000000">
        <w:rPr>
          <w:rFonts w:ascii="Times New Roman" w:cs="Times New Roman" w:eastAsia="Times New Roman" w:hAnsi="Times New Roman"/>
          <w:i w:val="1"/>
          <w:iCs w:val="1"/>
          <w:sz w:val="18"/>
          <w:szCs w:val="18"/>
          <w:rtl w:val="0"/>
        </w:rPr>
        <w:t xml:space="preserve"> được Quốc hội nước Cộng hoà xã hội chủ nghĩa Việt Nam khoá IX thông qua ngày 10 tháng 7 năm 1993;</w:t>
        <w:br w:type="textWrapping"/>
        <w:t xml:space="preserve">Theo đề nghị của Bộ trưởng Bộ Tài chính, Bộ trưởng Bộ Nông nghiệp và Công nghiệp thực phẩm và Tổng cục trưởng Tổng cục Quản lý ruộng đất,</w:t>
      </w:r>
    </w:p>
    <w:p w:rsidR="00000000" w:rsidDel="00000000" w:rsidP="00000000" w:rsidRDefault="00000000" w:rsidRPr="00000000" w14:paraId="00000025">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p>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1.</w:t>
      </w:r>
      <w:r w:rsidDel="00000000" w:rsidR="00000000" w:rsidRPr="00000000">
        <w:rPr>
          <w:rFonts w:ascii="Times New Roman" w:cs="Times New Roman" w:eastAsia="Times New Roman" w:hAnsi="Times New Roman"/>
          <w:sz w:val="18"/>
          <w:szCs w:val="18"/>
          <w:rtl w:val="0"/>
        </w:rPr>
        <w:t xml:space="preserve"> - Căn cứ để phân hạng đất tính thuế sử dụng đất nông nghiệp là các yếu tố chất đất, vị trí, địa hình, điều kiện khí hậu, thời tiết và điều kiện tưới tiêu. Tiêu chuẩn của từng yếu tố được xác định như sau :</w:t>
      </w:r>
    </w:p>
    <w:p w:rsidR="00000000" w:rsidDel="00000000" w:rsidP="00000000" w:rsidRDefault="00000000" w:rsidRPr="00000000" w14:paraId="0000002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Yếu tố chất đất là độ phì của đất thích hợp với từng loại cây trồng; đối với đất có mặt nước nuôi trồng thuỷ sản còn bao gồm độ muối và nguồn dinh dưỡng của nước.</w:t>
      </w:r>
    </w:p>
    <w:p w:rsidR="00000000" w:rsidDel="00000000" w:rsidP="00000000" w:rsidRDefault="00000000" w:rsidRPr="00000000" w14:paraId="000000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Yếu tố vị trí của đất là khoảng cách so với nơi cư trú của người sử dụng đất, khoảng cách so với thị trường tiêu thụ nông sản phẩm theo từng trường hợp cụ thể.</w:t>
      </w:r>
    </w:p>
    <w:p w:rsidR="00000000" w:rsidDel="00000000" w:rsidP="00000000" w:rsidRDefault="00000000" w:rsidRPr="00000000" w14:paraId="000000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Yếu tố địa hình của đất là độ bằng phẳng, độ dốc, độ trũng hoặc ngập úng của mảnh đất.</w:t>
      </w:r>
    </w:p>
    <w:p w:rsidR="00000000" w:rsidDel="00000000" w:rsidP="00000000" w:rsidRDefault="00000000" w:rsidRPr="00000000" w14:paraId="000000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Yếu tố điều kiện khí hậu, thời tiết là nhiệt độ trung bình hàng năm và các tháng trong năm; lượng mưa trung bình hàng năm và các tháng trong năm; số tháng khô hạn trong năm; tần suất xuất hiện lũ, bão, sương muối, gió khô nóng trong năm và từng tháng; độ ẩm ảnh hưởng đến sinh trưởng của cây trồng.</w:t>
      </w:r>
    </w:p>
    <w:p w:rsidR="00000000" w:rsidDel="00000000" w:rsidP="00000000" w:rsidRDefault="00000000" w:rsidRPr="00000000" w14:paraId="0000002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Yếu tố điều kiện tưới tiêu đối với đất trồng cây hàng năm là mức độ tưới tiêu chủ động; đối với đất trồng cây lâu năm là mức độ gần, xa nguồn nước hoặc không có nguồn nước và điều kiện thoát nước.</w:t>
      </w:r>
    </w:p>
    <w:p w:rsidR="00000000" w:rsidDel="00000000" w:rsidP="00000000" w:rsidRDefault="00000000" w:rsidRPr="00000000" w14:paraId="0000002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chuẩn cụ thể của từng yếu tố để phân hạng đất tính thuế đối với các loại cây trồng chính được ban hành kèm theo Nghị định này.</w:t>
      </w:r>
    </w:p>
    <w:p w:rsidR="00000000" w:rsidDel="00000000" w:rsidP="00000000" w:rsidRDefault="00000000" w:rsidRPr="00000000" w14:paraId="0000002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2</w:t>
      </w:r>
      <w:r w:rsidDel="00000000" w:rsidR="00000000" w:rsidRPr="00000000">
        <w:rPr>
          <w:rFonts w:ascii="Times New Roman" w:cs="Times New Roman" w:eastAsia="Times New Roman" w:hAnsi="Times New Roman"/>
          <w:sz w:val="18"/>
          <w:szCs w:val="18"/>
          <w:rtl w:val="0"/>
        </w:rPr>
        <w:t xml:space="preserve">.- Việc phân hạng đất tính thuế đối với các cây trồng chính được qui định như sau:</w:t>
      </w:r>
    </w:p>
    <w:p w:rsidR="00000000" w:rsidDel="00000000" w:rsidP="00000000" w:rsidRDefault="00000000" w:rsidRPr="00000000" w14:paraId="0000002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Đối với đất trồng cây hàng năm thì phân hạng đất tính thuế theo đất trồng lúa; dựa vào tiêu chuẩn của 5 yếu tố qui định tại Điều 1 của Nghị định này có tham khảo năng suất bình quân đạt được trong điều kiện canh tác bình thường của 5 năm (1986-1990).</w:t>
      </w:r>
    </w:p>
    <w:p w:rsidR="00000000" w:rsidDel="00000000" w:rsidP="00000000" w:rsidRDefault="00000000" w:rsidRPr="00000000" w14:paraId="0000002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Đối với đất có mặt nước nuôi trồng thuỷ sản nằm trong vùng đất trồng cây hàng năm, thì thực hiện phân hạng đất tính thuế như đất trồng cây hàng năm.</w:t>
      </w:r>
    </w:p>
    <w:p w:rsidR="00000000" w:rsidDel="00000000" w:rsidP="00000000" w:rsidRDefault="00000000" w:rsidRPr="00000000" w14:paraId="0000003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Đối với đất có mặt nước mặn, lợ chuyên dùng vào nuôi trồng thuỷ sản phải căn cứ vào chất đất, khí hậu thời tiết, vị trí, địa hình và điều kiện cấp thoát nước, có tham khảo năng suất bình quân đạt được trong điều kiện canh tác bình thường của năm (1986-1990) hoặc của các năm gần nhất.</w:t>
      </w:r>
    </w:p>
    <w:p w:rsidR="00000000" w:rsidDel="00000000" w:rsidP="00000000" w:rsidRDefault="00000000" w:rsidRPr="00000000" w14:paraId="0000003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Đối với đất trồng cỏ dùng vào chăn nuôi thì phân hạng đất theo đất trồng cây hàng năm.</w:t>
      </w:r>
    </w:p>
    <w:p w:rsidR="00000000" w:rsidDel="00000000" w:rsidP="00000000" w:rsidRDefault="00000000" w:rsidRPr="00000000" w14:paraId="0000003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Đối với đất trồng cây lâu năm (trừ đất trồng các loại cây lâu năm thu hoạch một lần như gỗ, tre, nứa, song, mây...) thì dựa vào tiêu chuẩn của các yếu tố để phân hạng đất tính thuế.</w:t>
      </w:r>
    </w:p>
    <w:p w:rsidR="00000000" w:rsidDel="00000000" w:rsidP="00000000" w:rsidRDefault="00000000" w:rsidRPr="00000000" w14:paraId="000000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Riêng đối với đất trồng các loại cây lâu năm thu hoạch một lần thì không phân hạng đất, khi có thu hoạch sẽ thực hiện việc thu thuế 4% giá trị sản lượng khai thác.</w:t>
      </w:r>
    </w:p>
    <w:p w:rsidR="00000000" w:rsidDel="00000000" w:rsidP="00000000" w:rsidRDefault="00000000" w:rsidRPr="00000000" w14:paraId="000000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3.-</w:t>
      </w:r>
      <w:r w:rsidDel="00000000" w:rsidR="00000000" w:rsidRPr="00000000">
        <w:rPr>
          <w:rFonts w:ascii="Times New Roman" w:cs="Times New Roman" w:eastAsia="Times New Roman" w:hAnsi="Times New Roman"/>
          <w:sz w:val="18"/>
          <w:szCs w:val="18"/>
          <w:rtl w:val="0"/>
        </w:rPr>
        <w:t xml:space="preserve"> Căn cứ tiêu chuẩn hạng đất tính thuế, Bộ Tài chính thống nhất với Bộ Nông nghiệp và Công nghiệp thực phẩm, Tổng cục Quản lý ruộng đất, xác định tiêu chuẩn hạng đất đến huyện, quận, thị xã, thành phố thuộc tỉnh làm cơ sở cho việc phân hạng đất tính thuế của từng địa phương.</w:t>
      </w:r>
    </w:p>
    <w:p w:rsidR="00000000" w:rsidDel="00000000" w:rsidP="00000000" w:rsidRDefault="00000000" w:rsidRPr="00000000" w14:paraId="0000003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4.-</w:t>
      </w:r>
      <w:r w:rsidDel="00000000" w:rsidR="00000000" w:rsidRPr="00000000">
        <w:rPr>
          <w:rFonts w:ascii="Times New Roman" w:cs="Times New Roman" w:eastAsia="Times New Roman" w:hAnsi="Times New Roman"/>
          <w:sz w:val="18"/>
          <w:szCs w:val="18"/>
          <w:rtl w:val="0"/>
        </w:rPr>
        <w:t xml:space="preserve"> Căn cứ vào tiêu chuẩn hạng đất, thực tế đất đai và kết quả sản xuất ở địa phương. Uỷ ban nhân dân tỉnh, thành phố trực thuộc Trung ương chỉ đạo, hướng dẫn việc phân hạng đất tính thuế ở địa phương.</w:t>
      </w:r>
    </w:p>
    <w:p w:rsidR="00000000" w:rsidDel="00000000" w:rsidP="00000000" w:rsidRDefault="00000000" w:rsidRPr="00000000" w14:paraId="0000003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5.-</w:t>
      </w:r>
      <w:r w:rsidDel="00000000" w:rsidR="00000000" w:rsidRPr="00000000">
        <w:rPr>
          <w:rFonts w:ascii="Times New Roman" w:cs="Times New Roman" w:eastAsia="Times New Roman" w:hAnsi="Times New Roman"/>
          <w:sz w:val="18"/>
          <w:szCs w:val="18"/>
          <w:rtl w:val="0"/>
        </w:rPr>
        <w:t xml:space="preserve"> Theo sự chỉ đạo của Uỷ ban nhân dân huyện, quận, thị xã, thành phố thuộc tỉnh, Uỷ ban nhân dân xã, phường, thị trấn tiến hành phân hạng đất tính thuế.</w:t>
      </w:r>
    </w:p>
    <w:p w:rsidR="00000000" w:rsidDel="00000000" w:rsidP="00000000" w:rsidRDefault="00000000" w:rsidRPr="00000000" w14:paraId="000000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Hội đồng tư vấn thuế xã giúp Uỷ ban nhân dân xã phân hạng đất ở xã.</w:t>
      </w:r>
    </w:p>
    <w:p w:rsidR="00000000" w:rsidDel="00000000" w:rsidP="00000000" w:rsidRDefault="00000000" w:rsidRPr="00000000" w14:paraId="0000003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Trước khi báo cáo lên Uỷ ban nhân dân cấp trên về kết quả phân hạng đất tính thuế, Uỷ ban nhân dân xã, phường, thị trấn phải niêm yết công khai kết quả phân hạng đất tính thuế của xã trong thời hạn 20 ngày để nhân dân tham gia ý kiến, kịp thời có điều chỉnh cần thiết và hộ nộp thuế xác nhận hạng đất tính thuế của mình.</w:t>
      </w:r>
    </w:p>
    <w:p w:rsidR="00000000" w:rsidDel="00000000" w:rsidP="00000000" w:rsidRDefault="00000000" w:rsidRPr="00000000" w14:paraId="0000003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6.-</w:t>
      </w:r>
      <w:r w:rsidDel="00000000" w:rsidR="00000000" w:rsidRPr="00000000">
        <w:rPr>
          <w:rFonts w:ascii="Times New Roman" w:cs="Times New Roman" w:eastAsia="Times New Roman" w:hAnsi="Times New Roman"/>
          <w:sz w:val="18"/>
          <w:szCs w:val="18"/>
          <w:rtl w:val="0"/>
        </w:rPr>
        <w:t xml:space="preserve"> Chi cục thuế giúp Uỷ ban nhân dân quận, huyện, thị xã, thành phố thuộc tỉnh chỉ đạo, hướng dẫn các xã, phường, thị trấn phân hạng đất tính thuế, kiểm tra xem xét và tổng hợp kết quả phân hạng đất của địa phương mình, báo cáo Cục thuế để trình Uỷ ban nhân dân tỉnh, thành phố trực thuộc Trung ương.</w:t>
      </w:r>
    </w:p>
    <w:p w:rsidR="00000000" w:rsidDel="00000000" w:rsidP="00000000" w:rsidRDefault="00000000" w:rsidRPr="00000000" w14:paraId="0000003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7.-</w:t>
      </w:r>
      <w:r w:rsidDel="00000000" w:rsidR="00000000" w:rsidRPr="00000000">
        <w:rPr>
          <w:rFonts w:ascii="Times New Roman" w:cs="Times New Roman" w:eastAsia="Times New Roman" w:hAnsi="Times New Roman"/>
          <w:sz w:val="18"/>
          <w:szCs w:val="18"/>
          <w:rtl w:val="0"/>
        </w:rPr>
        <w:t xml:space="preserve"> Cục thuế giúp Uỷ ban nhân dân tỉnh, thành phố trực thuộc Trung ương kiểm tra và xét duyệt tổng hợp kết quả phân hạng đất tính thuế của địa phương, báo cáo Bộ Tài chính để trình Thủ tướng Chính phủ phê chuẩn.</w:t>
      </w:r>
    </w:p>
    <w:p w:rsidR="00000000" w:rsidDel="00000000" w:rsidP="00000000" w:rsidRDefault="00000000" w:rsidRPr="00000000" w14:paraId="0000003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Hạng đất tính thuế sau khi được Thủ tướng Chính phủ phê chuẩn là căn cứ tính thuế, lập sổ thuế.</w:t>
      </w:r>
    </w:p>
    <w:p w:rsidR="00000000" w:rsidDel="00000000" w:rsidP="00000000" w:rsidRDefault="00000000" w:rsidRPr="00000000" w14:paraId="0000003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Hạng đất tính thuế được ổn định 10 năm.</w:t>
      </w:r>
    </w:p>
    <w:p w:rsidR="00000000" w:rsidDel="00000000" w:rsidP="00000000" w:rsidRDefault="00000000" w:rsidRPr="00000000" w14:paraId="0000003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thời hạn ổn định hạng đất tính thuế, đối với vùng Nhà nước có đầu tư lớn về giao thông, thuỷ lợi, cải tạo đất và các biện pháp khác đem lại hiệu quả kinh tế cao hơn mức bình quân của thời kỳ 5 năm (1986-1990), thì Uỷ ban nhân dân tỉnh, thành phố trực thuộc Trung ương điều chỉnh hạng đất tính thuế trình Thủ tướng Chính phủ phê chuẩn.</w:t>
      </w:r>
    </w:p>
    <w:p w:rsidR="00000000" w:rsidDel="00000000" w:rsidP="00000000" w:rsidRDefault="00000000" w:rsidRPr="00000000" w14:paraId="0000003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8.-</w:t>
      </w:r>
      <w:r w:rsidDel="00000000" w:rsidR="00000000" w:rsidRPr="00000000">
        <w:rPr>
          <w:rFonts w:ascii="Times New Roman" w:cs="Times New Roman" w:eastAsia="Times New Roman" w:hAnsi="Times New Roman"/>
          <w:sz w:val="18"/>
          <w:szCs w:val="18"/>
          <w:rtl w:val="0"/>
        </w:rPr>
        <w:t xml:space="preserve"> Nghị định này có hiệu lực thi hành từ ngày 25 tháng 10 năm 1993.</w:t>
      </w:r>
    </w:p>
    <w:p w:rsidR="00000000" w:rsidDel="00000000" w:rsidP="00000000" w:rsidRDefault="00000000" w:rsidRPr="00000000" w14:paraId="0000003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Những quy định về phân hạng đất tính thuế trước đây đều bãi bỏ.</w:t>
      </w:r>
    </w:p>
    <w:p w:rsidR="00000000" w:rsidDel="00000000" w:rsidP="00000000" w:rsidRDefault="00000000" w:rsidRPr="00000000" w14:paraId="0000004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Bộ trưởng Bộ Tài chính có trách nhiệm hướng dẫn chi tiết việc thi hành Nghị định này.</w:t>
      </w:r>
    </w:p>
    <w:p w:rsidR="00000000" w:rsidDel="00000000" w:rsidP="00000000" w:rsidRDefault="00000000" w:rsidRPr="00000000" w14:paraId="0000004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9.-</w:t>
      </w:r>
      <w:r w:rsidDel="00000000" w:rsidR="00000000" w:rsidRPr="00000000">
        <w:rPr>
          <w:rFonts w:ascii="Times New Roman" w:cs="Times New Roman" w:eastAsia="Times New Roman" w:hAnsi="Times New Roman"/>
          <w:sz w:val="18"/>
          <w:szCs w:val="18"/>
          <w:rtl w:val="0"/>
        </w:rPr>
        <w:t xml:space="preserve"> Bộ trưởng, Thủ trưởng cơ quan ngang Bộ, Thủ trưởng cơ quan thuộc Chính phủ, Chủ tịch uỷ ban nhân dân tỉnh, thành phố trực thuộc Trung ương chịu trách nhiệm thi hành nghị định này.</w:t>
      </w:r>
    </w:p>
    <w:p w:rsidR="00000000" w:rsidDel="00000000" w:rsidP="00000000" w:rsidRDefault="00000000" w:rsidRPr="00000000" w14:paraId="0000004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043">
            <w:pPr>
              <w:pBdr>
                <w:left w:color="auto" w:space="0" w:sz="0" w:val="none"/>
                <w:right w:color="auto" w:space="0" w:sz="0" w:val="none"/>
              </w:pBdr>
              <w:spacing w:after="120" w:before="120" w:line="311.99999999999994"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04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Phan Văn Khải</w:t>
            </w:r>
          </w:p>
          <w:p w:rsidR="00000000" w:rsidDel="00000000" w:rsidP="00000000" w:rsidRDefault="00000000" w:rsidRPr="00000000" w14:paraId="00000045">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 ký)</w:t>
            </w:r>
          </w:p>
        </w:tc>
      </w:tr>
    </w:tbl>
    <w:p w:rsidR="00000000" w:rsidDel="00000000" w:rsidP="00000000" w:rsidRDefault="00000000" w:rsidRPr="00000000" w14:paraId="000000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7">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uvienphapluat.vn/van-ban/Thue-Phi-Le-Phi/Luat-thue-Su-dung-Dat-Nong-nghiep-1993-23-L-CTN-38480.aspx" TargetMode="External"/><Relationship Id="rId5" Type="http://schemas.openxmlformats.org/officeDocument/2006/relationships/styles" Target="styles.xml"/><Relationship Id="rId6" Type="http://schemas.openxmlformats.org/officeDocument/2006/relationships/hyperlink" Target="https://thuvienphapluat.vn/van-ban/Bo-may-hanh-chinh/Luat-To-chuc-Chinh-phu-1992-1-L-CTN-38246.aspx" TargetMode="External"/><Relationship Id="rId7" Type="http://schemas.openxmlformats.org/officeDocument/2006/relationships/hyperlink" Target="https://thuvienphapluat.vn/van-ban/Thue-Phi-Le-Phi/Luat-thue-Su-dung-Dat-Nong-nghiep-1993-23-L-CTN-38480.aspx" TargetMode="External"/><Relationship Id="rId8" Type="http://schemas.openxmlformats.org/officeDocument/2006/relationships/hyperlink" Target="https://thuvienphapluat.vn/van-ban/Bo-may-hanh-chinh/Luat-To-chuc-Chinh-phu-1992-1-L-CTN-3824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