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Identity Association — Đối thủ (GNN-CCA, Luna et al. 2022)</w:t>
      </w:r>
    </w:p>
    <w:p>
      <w:pPr>
        <w:pStyle w:val="Heading1"/>
      </w:pPr>
      <w:r>
        <w:t>1. Cách triển khai</w:t>
      </w:r>
    </w:p>
    <w:p>
      <w:r>
        <w:t>Luna, SanMiguel, Martínez, Carballeira — "Graph Neural Networks for Cross-Camera Data Association" (arXiv:2201.06311, IEEE TCSVT 2022). Đây CHÍNH XÁC là hướng GNN mà nhóm đã cân nhắc và loại bỏ từ đầu dự án (lý do ghi trong Context xử lý vấn đề 2.docx: "thêm 1 model riêng, không khớp ràng buộc không thêm model trên Jetson Nano 4GB") — so sánh với đúng bài này để kiểm chứng quyết định đó bằng số liệu, không chỉ lý luận suông.</w:t>
      </w:r>
    </w:p>
    <w:p>
      <w:r>
        <w:t>Code chính thức công khai (github.com/vpulab/GNN-CCA) — đã tải về và đọc trực tiếp. Kiến trúc: mỗi frame → xây đồ thị (mỗi detection là 1 node, cạnh nối MỌI cặp detection khác camera) → khởi tạo đặc trưng node bằng CNN Re-ID (appearance) + đặc trưng cạnh bằng khoảng cách appearance VÀ khoảng cách không gian (chiếu qua homography, giống ý tưởng Identity Association) → Message Passing Network (MPN, học lan truyền đặc trưng qua đồ thị) → phân loại cạnh active/inactive → hậu xử lý (pruning + splitting) → Connected Components ra danh tính cuối.</w:t>
      </w:r>
    </w:p>
    <w:p>
      <w:r>
        <w:t>GIỚI HẠN THẬT — không train/chạy được bản GNN học đầy đủ trên data Identity Association: (1) cần TRAIN có nhãn (đúng lý do ban đầu loại GNN — thêm gánh nặng train/bảo trì); (2) phụ thuộc PyTorch Geometric + pytorch-scatter/sparse/cluster — các extension biên dịch C++/CUDA khớp ĐÚNG bản torch+CUDA (env gốc: torch 1.9.1+cu111) — không có wheel dựng sẵn cho môi trường của nhóm, rủi ro cài đặt thật (đã từng gặp khó khăn tương tự với pycuda+TensorRT trong dự án này). Đã CHẠY ĐƯỢC phần nhẹ, không cần PyTorch Geometric: hàm `geometrical_association` — baseline THUẦN HÌNH HỌC (không học) mà CHÍNH paper này dùng để tự so sánh trong Table V — tái hiện lại và chạy trên data Identity Association thật (xem folder 3).</w:t>
      </w:r>
    </w:p>
    <w:p>
      <w:pPr>
        <w:pStyle w:val="Heading1"/>
      </w:pPr>
      <w:r>
        <w:t>2. Số liệu — trích dẫn TRỰC TIẾP từ Table V của paper</w:t>
      </w:r>
    </w:p>
    <w:p>
      <w:r>
        <w:t>Đo trên EPFL multi-camera pedestrian dataset (Terrace/Laboratory/Basketball, tới 9 người, 4 camera — khó hơn nhiều so với Identity Association: 1-2 người, 2 camera), trung bình 3 tập train-test S1/S2/S3, dùng ResNet50 (Market1501+CUHK03+DukeMTMC) làm CNN Re-ID:</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Method</w:t>
            </w:r>
          </w:p>
        </w:tc>
        <w:tc>
          <w:tcPr>
            <w:tcW w:type="dxa" w:w="1440"/>
          </w:tcPr>
          <w:p>
            <w:r>
              <w:rPr>
                <w:b/>
              </w:rPr>
              <w:t>ARI</w:t>
            </w:r>
          </w:p>
        </w:tc>
        <w:tc>
          <w:tcPr>
            <w:tcW w:type="dxa" w:w="1440"/>
          </w:tcPr>
          <w:p>
            <w:r>
              <w:rPr>
                <w:b/>
              </w:rPr>
              <w:t>AMI</w:t>
            </w:r>
          </w:p>
        </w:tc>
        <w:tc>
          <w:tcPr>
            <w:tcW w:type="dxa" w:w="1440"/>
          </w:tcPr>
          <w:p>
            <w:r>
              <w:rPr>
                <w:b/>
              </w:rPr>
              <w:t>Homogeneity</w:t>
            </w:r>
          </w:p>
        </w:tc>
        <w:tc>
          <w:tcPr>
            <w:tcW w:type="dxa" w:w="1440"/>
          </w:tcPr>
          <w:p>
            <w:r>
              <w:rPr>
                <w:b/>
              </w:rPr>
              <w:t>Completeness</w:t>
            </w:r>
          </w:p>
        </w:tc>
        <w:tc>
          <w:tcPr>
            <w:tcW w:type="dxa" w:w="1440"/>
          </w:tcPr>
          <w:p>
            <w:r>
              <w:rPr>
                <w:b/>
              </w:rPr>
              <w:t>V-measure</w:t>
            </w:r>
          </w:p>
        </w:tc>
      </w:tr>
      <w:tr>
        <w:tc>
          <w:tcPr>
            <w:tcW w:type="dxa" w:w="1440"/>
          </w:tcPr>
          <w:p>
            <w:r>
              <w:t>Geometry-only (non-learned, same idea as Identity Association)</w:t>
            </w:r>
          </w:p>
        </w:tc>
        <w:tc>
          <w:tcPr>
            <w:tcW w:type="dxa" w:w="1440"/>
          </w:tcPr>
          <w:p>
            <w:r>
              <w:t>43.49</w:t>
            </w:r>
          </w:p>
        </w:tc>
        <w:tc>
          <w:tcPr>
            <w:tcW w:type="dxa" w:w="1440"/>
          </w:tcPr>
          <w:p>
            <w:r>
              <w:t>55.40</w:t>
            </w:r>
          </w:p>
        </w:tc>
        <w:tc>
          <w:tcPr>
            <w:tcW w:type="dxa" w:w="1440"/>
          </w:tcPr>
          <w:p>
            <w:r>
              <w:t>52.48</w:t>
            </w:r>
          </w:p>
        </w:tc>
        <w:tc>
          <w:tcPr>
            <w:tcW w:type="dxa" w:w="1440"/>
          </w:tcPr>
          <w:p>
            <w:r>
              <w:t>99.03</w:t>
            </w:r>
          </w:p>
        </w:tc>
        <w:tc>
          <w:tcPr>
            <w:tcW w:type="dxa" w:w="1440"/>
          </w:tcPr>
          <w:p>
            <w:r>
              <w:t>60.96</w:t>
            </w:r>
          </w:p>
        </w:tc>
      </w:tr>
      <w:tr>
        <w:tc>
          <w:tcPr>
            <w:tcW w:type="dxa" w:w="1440"/>
          </w:tcPr>
          <w:p>
            <w:r>
              <w:t>Geometry + Appearance (threshold, non-learned)</w:t>
            </w:r>
          </w:p>
        </w:tc>
        <w:tc>
          <w:tcPr>
            <w:tcW w:type="dxa" w:w="1440"/>
          </w:tcPr>
          <w:p>
            <w:r>
              <w:t>57.22</w:t>
            </w:r>
          </w:p>
        </w:tc>
        <w:tc>
          <w:tcPr>
            <w:tcW w:type="dxa" w:w="1440"/>
          </w:tcPr>
          <w:p>
            <w:r>
              <w:t>65.52</w:t>
            </w:r>
          </w:p>
        </w:tc>
        <w:tc>
          <w:tcPr>
            <w:tcW w:type="dxa" w:w="1440"/>
          </w:tcPr>
          <w:p>
            <w:r>
              <w:t>80.02</w:t>
            </w:r>
          </w:p>
        </w:tc>
        <w:tc>
          <w:tcPr>
            <w:tcW w:type="dxa" w:w="1440"/>
          </w:tcPr>
          <w:p>
            <w:r>
              <w:t>82.04</w:t>
            </w:r>
          </w:p>
        </w:tc>
        <w:tc>
          <w:tcPr>
            <w:tcW w:type="dxa" w:w="1440"/>
          </w:tcPr>
          <w:p>
            <w:r>
              <w:t>78.45</w:t>
            </w:r>
          </w:p>
        </w:tc>
      </w:tr>
      <w:tr>
        <w:tc>
          <w:tcPr>
            <w:tcW w:type="dxa" w:w="1440"/>
          </w:tcPr>
          <w:p>
            <w:r>
              <w:t>GNN-CCA full (learned)</w:t>
            </w:r>
          </w:p>
        </w:tc>
        <w:tc>
          <w:tcPr>
            <w:tcW w:type="dxa" w:w="1440"/>
          </w:tcPr>
          <w:p>
            <w:r>
              <w:t>84.76</w:t>
            </w:r>
          </w:p>
        </w:tc>
        <w:tc>
          <w:tcPr>
            <w:tcW w:type="dxa" w:w="1440"/>
          </w:tcPr>
          <w:p>
            <w:r>
              <w:t>87.65</w:t>
            </w:r>
          </w:p>
        </w:tc>
        <w:tc>
          <w:tcPr>
            <w:tcW w:type="dxa" w:w="1440"/>
          </w:tcPr>
          <w:p>
            <w:r>
              <w:t>93.81</w:t>
            </w:r>
          </w:p>
        </w:tc>
        <w:tc>
          <w:tcPr>
            <w:tcW w:type="dxa" w:w="1440"/>
          </w:tcPr>
          <w:p>
            <w:r>
              <w:t>92.53</w:t>
            </w:r>
          </w:p>
        </w:tc>
        <w:tc>
          <w:tcPr>
            <w:tcW w:type="dxa" w:w="1440"/>
          </w:tcPr>
          <w:p>
            <w:r>
              <w:t>93.00</w:t>
            </w:r>
          </w:p>
        </w:tc>
      </w:tr>
    </w:tbl>
    <w:p/>
    <w:p>
      <w:r>
        <w:t>Paper tự báo cáo: GNN-CCA cải thiện 18.55% V-measure so với baseline tốt nhất không học (Geometry+Appearance), và 97.28% so với dùng khoảng cách Euclidean đơn thuần trên appearance — mức cải thiện LỚN, không nhỏ, trên chính benchmark của họ.</w:t>
      </w:r>
    </w:p>
    <w:p>
      <w:pPr>
        <w:pStyle w:val="Heading1"/>
      </w:pPr>
      <w:r>
        <w:t>3. Phân tích chi phí tài nguyên trên Jetson Nano 4GB</w:t>
      </w:r>
    </w:p>
    <w:p>
      <w:r>
        <w:t>ƯỚC TÍNH CÓ CĂN CỨ — KHÔNG phải đo trực tiếp (vì không chạy được GNN-CCA đầy đủ trên thiết bị thật, xem Mục 1). Lập luận dựa trên kiến trúc thật của paper + số đo Jetson THẬT đã có từ Re-Identification/Identity Association trong dự án:</w:t>
      </w:r>
    </w:p>
    <w:tbl>
      <w:tblPr>
        <w:tblStyle w:val="LightGrid-Accent1"/>
        <w:tblW w:type="auto" w:w="0"/>
        <w:tblLook w:firstColumn="1" w:firstRow="1" w:lastColumn="0" w:lastRow="0" w:noHBand="0" w:noVBand="1" w:val="04A0"/>
      </w:tblPr>
      <w:tblGrid>
        <w:gridCol w:w="4320"/>
        <w:gridCol w:w="4320"/>
      </w:tblGrid>
      <w:tr>
        <w:tc>
          <w:tcPr>
            <w:tcW w:type="dxa" w:w="4320"/>
          </w:tcPr>
          <w:p>
            <w:r>
              <w:rPr>
                <w:b/>
              </w:rPr>
              <w:t>Component</w:t>
            </w:r>
          </w:p>
        </w:tc>
        <w:tc>
          <w:tcPr>
            <w:tcW w:type="dxa" w:w="4320"/>
          </w:tcPr>
          <w:p>
            <w:r>
              <w:rPr>
                <w:b/>
              </w:rPr>
              <w:t>Cost</w:t>
            </w:r>
          </w:p>
        </w:tc>
      </w:tr>
      <w:tr>
        <w:tc>
          <w:tcPr>
            <w:tcW w:type="dxa" w:w="4320"/>
          </w:tcPr>
          <w:p>
            <w:r>
              <w:t>MPN (Message Passing Network) itself</w:t>
            </w:r>
          </w:p>
        </w:tc>
        <w:tc>
          <w:tcPr>
            <w:tcW w:type="dxa" w:w="4320"/>
          </w:tcPr>
          <w:p>
            <w:r>
              <w:t>~0.2M params — light, per paper's own claim</w:t>
            </w:r>
          </w:p>
        </w:tc>
      </w:tr>
      <w:tr>
        <w:tc>
          <w:tcPr>
            <w:tcW w:type="dxa" w:w="4320"/>
          </w:tcPr>
          <w:p>
            <w:r>
              <w:t>CNN Re-ID feature extraction (REQUIRED, every detection, every frame, BOTH cameras)</w:t>
            </w:r>
          </w:p>
        </w:tc>
        <w:tc>
          <w:tcPr>
            <w:tcW w:type="dxa" w:w="4320"/>
          </w:tcPr>
          <w:p>
            <w:r>
              <w:t>Same CATEGORY of cost already measured REAL in Re-Identification: adding OSNet x0.5 (chosen as the LIGHTEST of 3 variants tried) dropped FPS to 18.15 when run alongside YOLOv8n — and that was only 1 camera/1 person. GNN-CCA needs this CNN on EVERY detection, BOTH cameras, every frame.</w:t>
            </w:r>
          </w:p>
        </w:tc>
      </w:tr>
      <w:tr>
        <w:tc>
          <w:tcPr>
            <w:tcW w:type="dxa" w:w="4320"/>
          </w:tcPr>
          <w:p>
            <w:r>
              <w:t>Graph construction + Message Passing (PyTorch Geometric, pytorch-scatter/sparse)</w:t>
            </w:r>
          </w:p>
        </w:tc>
        <w:tc>
          <w:tcPr>
            <w:tcW w:type="dxa" w:w="4320"/>
          </w:tcPr>
          <w:p>
            <w:r>
              <w:t>ADDITIONAL overhead on top of the CNN — not present in Identity Association's pipeline (Identity Association only needs numpy/scipy).</w:t>
            </w:r>
          </w:p>
        </w:tc>
      </w:tr>
      <w:tr>
        <w:tc>
          <w:tcPr>
            <w:tcW w:type="dxa" w:w="4320"/>
          </w:tcPr>
          <w:p>
            <w:r>
              <w:t>Software risk</w:t>
            </w:r>
          </w:p>
        </w:tc>
        <w:tc>
          <w:tcPr>
            <w:tcW w:type="dxa" w:w="4320"/>
          </w:tcPr>
          <w:p>
            <w:r>
              <w:t>PyTorch Geometric + pytorch-scatter/sparse/cluster are compiled C++/CUDA extensions matched to an exact torch+CUDA version — no prebuilt wheel for Jetson Nano 4GB's JetPack (Python 3.6.9, CUDA 10.2) — would need building from source, a real risk already encountered with pycuda+TensorRT in this project.</w:t>
            </w:r>
          </w:p>
        </w:tc>
      </w:tr>
    </w:tbl>
    <w:p/>
    <w:p>
      <w:r>
        <w:t>Đối chiếu: bước ghép cặp CỦA Identity Association (thuần numpy/scipy Hungarian, KHÔNG cần CNN nào) đo THẬT trên Jetson Nano 4GB: 9.6ms cho 100 lần lặp ghép cặp 10×10 người/camera (kịch bản xấu nhất giả lập, vượt xa nhu cầu thật của Identity Association chỉ 1-2 người) — với đúng quy mô thật (1-2 người), chi phí gần như bằng 0, không đáng kể so với chi phí CNN Re-ID mà GNN-CCA bắt buộc phải có.</w:t>
      </w:r>
    </w:p>
    <w:p>
      <w:pPr>
        <w:pStyle w:val="Heading2"/>
      </w:pPr>
      <w:r>
        <w:t>Danh mục file trong thư mục này</w:t>
      </w:r>
    </w:p>
    <w:p>
      <w:pPr>
        <w:pStyle w:val="ListBullet"/>
      </w:pPr>
      <w:r>
        <w:rPr>
          <w:b/>
        </w:rPr>
        <w:t>Noi_dung.docx</w:t>
      </w:r>
      <w:r>
        <w:t xml:space="preserve"> — Chính file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