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Identity Association — So sánh Bài của nhóm vs Đối thủ</w:t>
      </w:r>
    </w:p>
    <w:p>
      <w:pPr>
        <w:pStyle w:val="Heading1"/>
      </w:pPr>
      <w:r>
        <w:t>1. Bảng so sánh trực tiếp</w:t>
      </w:r>
    </w:p>
    <w:p>
      <w:r>
        <w:t>So sánh 3 nguồn: (a) Geometry-only và GNN-CCA đầy đủ — số liệu LITERATURE, trích dẫn trực tiếp từ Table V của paper, đo trên EPFL (9 người, 4 camera); (b) Identity Association Hungarian — đo THẬT trên data Identity Association Data 3 của nhóm (1-2 người, 2 camera), ĐẦY ĐỦ gốc + 4 biến thể augment an toàn (sáng/tối/nhiễu/nén, giống quy ước Re-Identification/Boundary Feature Fusion), tổng 840 frame. Cùng bộ metric (ARI/AMI/V-measure), KHÔNG cùng bộ data — ghi rõ để không gây hiểu nhầm là 'chạy trực tiếp cùng test 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Geometry-only (paper, EPFL)</w:t>
            </w:r>
          </w:p>
        </w:tc>
        <w:tc>
          <w:tcPr>
            <w:tcW w:type="dxa" w:w="2160"/>
          </w:tcPr>
          <w:p>
            <w:r>
              <w:rPr>
                <w:b/>
              </w:rPr>
              <w:t>GNN-CCA full (paper, EPFL)</w:t>
            </w:r>
          </w:p>
        </w:tc>
        <w:tc>
          <w:tcPr>
            <w:tcW w:type="dxa" w:w="2160"/>
          </w:tcPr>
          <w:p>
            <w:r>
              <w:rPr>
                <w:b/>
              </w:rPr>
              <w:t>Identity Association Hungarian (Ours, n=840)</w:t>
            </w:r>
          </w:p>
        </w:tc>
      </w:tr>
      <w:tr>
        <w:tc>
          <w:tcPr>
            <w:tcW w:type="dxa" w:w="2160"/>
          </w:tcPr>
          <w:p>
            <w:r>
              <w:t>ARI</w:t>
            </w:r>
          </w:p>
        </w:tc>
        <w:tc>
          <w:tcPr>
            <w:tcW w:type="dxa" w:w="2160"/>
          </w:tcPr>
          <w:p>
            <w:r>
              <w:t>43.49</w:t>
            </w:r>
          </w:p>
        </w:tc>
        <w:tc>
          <w:tcPr>
            <w:tcW w:type="dxa" w:w="2160"/>
          </w:tcPr>
          <w:p>
            <w:r>
              <w:t>84.76</w:t>
            </w:r>
          </w:p>
        </w:tc>
        <w:tc>
          <w:tcPr>
            <w:tcW w:type="dxa" w:w="2160"/>
          </w:tcPr>
          <w:p>
            <w:r>
              <w:t>85.45</w:t>
            </w:r>
          </w:p>
        </w:tc>
      </w:tr>
      <w:tr>
        <w:tc>
          <w:tcPr>
            <w:tcW w:type="dxa" w:w="2160"/>
          </w:tcPr>
          <w:p>
            <w:r>
              <w:t>AMI</w:t>
            </w:r>
          </w:p>
        </w:tc>
        <w:tc>
          <w:tcPr>
            <w:tcW w:type="dxa" w:w="2160"/>
          </w:tcPr>
          <w:p>
            <w:r>
              <w:t>55.40</w:t>
            </w:r>
          </w:p>
        </w:tc>
        <w:tc>
          <w:tcPr>
            <w:tcW w:type="dxa" w:w="2160"/>
          </w:tcPr>
          <w:p>
            <w:r>
              <w:t>87.65</w:t>
            </w:r>
          </w:p>
        </w:tc>
        <w:tc>
          <w:tcPr>
            <w:tcW w:type="dxa" w:w="2160"/>
          </w:tcPr>
          <w:p>
            <w:r>
              <w:t>85.46</w:t>
            </w:r>
          </w:p>
        </w:tc>
      </w:tr>
      <w:tr>
        <w:tc>
          <w:tcPr>
            <w:tcW w:type="dxa" w:w="2160"/>
          </w:tcPr>
          <w:p>
            <w:r>
              <w:t>Homogeneity</w:t>
            </w:r>
          </w:p>
        </w:tc>
        <w:tc>
          <w:tcPr>
            <w:tcW w:type="dxa" w:w="2160"/>
          </w:tcPr>
          <w:p>
            <w:r>
              <w:t>52.48</w:t>
            </w:r>
          </w:p>
        </w:tc>
        <w:tc>
          <w:tcPr>
            <w:tcW w:type="dxa" w:w="2160"/>
          </w:tcPr>
          <w:p>
            <w:r>
              <w:t>93.81</w:t>
            </w:r>
          </w:p>
        </w:tc>
        <w:tc>
          <w:tcPr>
            <w:tcW w:type="dxa" w:w="2160"/>
          </w:tcPr>
          <w:p>
            <w:r>
              <w:t>99.97</w:t>
            </w:r>
          </w:p>
        </w:tc>
      </w:tr>
      <w:tr>
        <w:tc>
          <w:tcPr>
            <w:tcW w:type="dxa" w:w="2160"/>
          </w:tcPr>
          <w:p>
            <w:r>
              <w:t>Completeness</w:t>
            </w:r>
          </w:p>
        </w:tc>
        <w:tc>
          <w:tcPr>
            <w:tcW w:type="dxa" w:w="2160"/>
          </w:tcPr>
          <w:p>
            <w:r>
              <w:t>99.03</w:t>
            </w:r>
          </w:p>
        </w:tc>
        <w:tc>
          <w:tcPr>
            <w:tcW w:type="dxa" w:w="2160"/>
          </w:tcPr>
          <w:p>
            <w:r>
              <w:t>92.53</w:t>
            </w:r>
          </w:p>
        </w:tc>
        <w:tc>
          <w:tcPr>
            <w:tcW w:type="dxa" w:w="2160"/>
          </w:tcPr>
          <w:p>
            <w:r>
              <w:t>91.91</w:t>
            </w:r>
          </w:p>
        </w:tc>
      </w:tr>
      <w:tr>
        <w:tc>
          <w:tcPr>
            <w:tcW w:type="dxa" w:w="2160"/>
          </w:tcPr>
          <w:p>
            <w:r>
              <w:t>V-measure</w:t>
            </w:r>
          </w:p>
        </w:tc>
        <w:tc>
          <w:tcPr>
            <w:tcW w:type="dxa" w:w="2160"/>
          </w:tcPr>
          <w:p>
            <w:r>
              <w:t>60.96</w:t>
            </w:r>
          </w:p>
        </w:tc>
        <w:tc>
          <w:tcPr>
            <w:tcW w:type="dxa" w:w="2160"/>
          </w:tcPr>
          <w:p>
            <w:r>
              <w:t>93.00</w:t>
            </w:r>
          </w:p>
        </w:tc>
        <w:tc>
          <w:tcPr>
            <w:tcW w:type="dxa" w:w="2160"/>
          </w:tcPr>
          <w:p>
            <w:r>
              <w:t>95.01</w:t>
            </w:r>
          </w:p>
        </w:tc>
      </w:tr>
    </w:tbl>
    <w:p/>
    <w:p>
      <w:pPr>
        <w:pStyle w:val="Heading1"/>
      </w:pPr>
      <w:r>
        <w:t>2. Kết luận</w:t>
      </w:r>
    </w:p>
    <w:p>
      <w:r>
        <w:t>Identity Association (thuần hình học, KHÔNG train) đo trên data thật của nhóm (n=840, gốc + 4 augment) đạt điểm TƯƠNG ĐƯƠNG HOẶC CAO HƠN GNN-CCA đầy đủ đo trên EPFL (ARI 85.45 vs 84.76; V-measure 95.01 vs 93.00) — dù GNN-CCA vượt trội RÕ RỆT so với baseline hình học của CHÍNH HỌ trên EPFL (ARI 84.76 vs 43.49, gần gấp đôi). Đây KHÔNG phải bằng chứng "hình học luôn thắng GNN nói chung" — chính paper chứng minh ngược lại trên benchmark của họ — mà là bằng chứng cho 2 điều cụ thể:</w:t>
      </w:r>
    </w:p>
    <w:p>
      <w:r>
        <w:t>(1) Quy mô bài toán MỤC TIÊU của nhóm nhỏ hơn nhiều so với EPFL (1-2 người/2 camera vs tới 9 người/4 camera) — độ mơ hồ cần GNN học để giải quyết (nhầm lẫn giữa nhiều người cùng lúc) gần như không xuất hiện ở quy mô nhỏ này.</w:t>
        <w:br/>
        <w:t>(2) Lựa chọn THUẬT TOÁN GÁN GHÉP đúng (Hungarian — tối ưu toàn cục) đã giải quyết được phần lớn độ mơ hồ còn lại — bằng chứng trực tiếp: Scene 2 (đứng sát nhau), threshold+CC đơn thuần (kiểu baseline không học của GNN-CCA) tụt xuống CHỈ CÒN 49.2% ARI trung bình qua 5 biến thể, trong khi Hungarian giữ nguyên 100% ở MỌI biến thể — kết quả CÀNG rõ hơn sau khi có đủ augment, không phải may mắn ở 1 lần đo (xem folder 1, Mục 3).</w:t>
      </w:r>
    </w:p>
    <w:p>
      <w:r>
        <w:t>Về chi phí tài nguyên (xem folder 2, Mục 3 — phân tích/ước tính, không đo trực tiếp): GNN-CCA cần 1 CNN Re-ID chạy trên MỌI detection ở CẢ 2 camera (cùng loại chi phí đã đo thật khiến Re-Identification phải chọn cẩn thận model Re-ID nhẹ nhất) CỘNG THÊM PyTorch Geometric (dependency khó cài trên Jetson Nano 4GB thật) — trong khi Identity Association đo thật chỉ tốn 9.6ms cho kịch bản xấu nhất giả lập. Quyết định loại bỏ GNN từ đầu dự án (ràng buộc phần cứng) là hợp lý VÀ không đánh đổi độ chính xác đáng kể ở đúng quy mô bài toán của nhóm.</w:t>
      </w:r>
    </w:p>
    <w:p>
      <w:pPr>
        <w:pStyle w:val="Heading1"/>
      </w:pPr>
      <w:r>
        <w:t>3. Giới hạn cần nêu rõ</w:t>
      </w:r>
    </w:p>
    <w:p>
      <w:r>
        <w:t>(a) KHÔNG train/chạy được bản GNN-CCA học đầy đủ trên chính data Identity Association — so sánh dừng ở mức trích dẫn số liệu literature (EPFL) đối chiếu với số đo thật trên data mình, KHÔNG phải chạy 2 phương pháp trên CÙNG 1 test set. Nếu chạy được GNN-CCA thật trên data Identity Association, kết quả có thể khác (có thể còn cao hơn, vì quy mô nhỏ dễ hơn cho GNN).</w:t>
        <w:br/>
        <w:t>(b) Ground truth cho đánh giá trên data Identity Association là bootstrap từ tần suất ghép Hungarian (xem folder 1, Mục 2) — không phải nhãn tay độc lập, có thể thiên vị nhẹ cho Hungarian.</w:t>
        <w:br/>
        <w:t>(c) Phần chi phí tài nguyên Jetson của GNN-CCA là ƯỚC TÍNH có căn cứ (suy luận từ kiến trúc thật + số đo Jetson thật của Re-Identification/Identity Association), KHÔNG phải benchmark trực tiếp.</w:t>
      </w:r>
    </w:p>
    <w:p>
      <w:pPr>
        <w:pStyle w:val="Heading2"/>
      </w:pPr>
      <w:r>
        <w:t>Danh mục file trong thư mục này</w:t>
      </w:r>
    </w:p>
    <w:p>
      <w:pPr>
        <w:pStyle w:val="ListBullet"/>
      </w:pPr>
      <w:r>
        <w:rPr>
          <w:b/>
        </w:rPr>
        <w:t>chart_clustering_vs_literature.png</w:t>
      </w:r>
      <w:r>
        <w:t xml:space="preserve"> — Biểu đồ so sánh ARI/AMI/V-measure: Geometry-only (paper) vs GNN-CCA đầy đủ (paper) vs Identity Association Hungarian (data thật của nhóm).</w:t>
      </w:r>
    </w:p>
    <w:p>
      <w:pPr>
        <w:pStyle w:val="ListBullet"/>
      </w:pPr>
      <w:r>
        <w:rPr>
          <w:b/>
        </w:rPr>
        <w:t>Noi_dung.docx</w:t>
      </w:r>
      <w:r>
        <w:t xml:space="preserve"> — Chính file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