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8C9A4">
      <w:pPr>
        <w:jc w:val="center"/>
      </w:pPr>
      <w:r>
        <w:rPr>
          <w:rFonts w:ascii="Times New Roman" w:hAnsi="Times New Roman" w:eastAsia="Times New Roman"/>
          <w:b/>
          <w:color w:val="00008B"/>
          <w:sz w:val="36"/>
        </w:rPr>
        <w:t>Báo cáo học tập kỳ I</w:t>
      </w:r>
    </w:p>
    <w:p w14:paraId="70647FEF">
      <w:r>
        <w:br w:type="textWrapping"/>
      </w:r>
      <w:r>
        <w:br w:type="textWrapping"/>
      </w:r>
    </w:p>
    <w:p w14:paraId="3C224427">
      <w:pPr>
        <w:jc w:val="center"/>
      </w:pPr>
      <w:r>
        <w:rPr>
          <w:rFonts w:ascii="Times New Roman" w:hAnsi="Times New Roman"/>
        </w:rPr>
        <w:t>Họ và tên: Nguyễn</w:t>
      </w:r>
      <w:r>
        <w:rPr>
          <w:rFonts w:hint="default" w:ascii="Times New Roman" w:hAnsi="Times New Roman"/>
          <w:lang w:val="vi-VN"/>
        </w:rPr>
        <w:t xml:space="preserve"> Phúc MInh Duy</w:t>
      </w:r>
      <w:r>
        <w:rPr>
          <w:rFonts w:ascii="Times New Roman" w:hAnsi="Times New Roman"/>
        </w:rPr>
        <w:br w:type="textWrapping"/>
      </w:r>
      <w:r>
        <w:rPr>
          <w:rFonts w:ascii="Times New Roman" w:hAnsi="Times New Roman"/>
        </w:rPr>
        <w:t>Lớp: CNTT</w:t>
      </w:r>
      <w:r>
        <w:rPr>
          <w:rFonts w:hint="default" w:ascii="Times New Roman" w:hAnsi="Times New Roman"/>
          <w:lang w:val="vi-VN"/>
        </w:rPr>
        <w:t>3</w:t>
      </w:r>
      <w:r>
        <w:rPr>
          <w:rFonts w:ascii="Times New Roman" w:hAnsi="Times New Roman"/>
        </w:rPr>
        <w:br w:type="textWrapping"/>
      </w:r>
      <w:r>
        <w:rPr>
          <w:rFonts w:ascii="Times New Roman" w:hAnsi="Times New Roman"/>
        </w:rPr>
        <w:t>Ngày: 2</w:t>
      </w:r>
      <w:r>
        <w:rPr>
          <w:rFonts w:hint="default" w:ascii="Times New Roman" w:hAnsi="Times New Roman"/>
          <w:lang w:val="vi-VN"/>
        </w:rPr>
        <w:t>6</w:t>
      </w:r>
      <w:r>
        <w:rPr>
          <w:rFonts w:ascii="Times New Roman" w:hAnsi="Times New Roman"/>
        </w:rPr>
        <w:t>/09/2025</w:t>
      </w:r>
    </w:p>
    <w:p w14:paraId="6C8AD786">
      <w:pPr>
        <w:rPr>
          <w:rFonts w:hint="default" w:ascii="Times New Roman" w:hAnsi="Times New Roman" w:cs="Times New Roman"/>
          <w:sz w:val="26"/>
          <w:szCs w:val="26"/>
        </w:rPr>
      </w:pPr>
      <w:r>
        <w:rPr>
          <w:rFonts w:hint="default" w:ascii="Times New Roman" w:hAnsi="Times New Roman" w:cs="Times New Roman"/>
          <w:sz w:val="26"/>
          <w:szCs w:val="26"/>
        </w:rPr>
        <w:t>Mục lục</w:t>
      </w:r>
    </w:p>
    <w:p w14:paraId="16410A7A">
      <w:pPr>
        <w:pStyle w:val="3"/>
      </w:pPr>
      <w:r>
        <w:t>Phần 1: Giới thiệu chung</w:t>
      </w:r>
    </w:p>
    <w:p w14:paraId="51A488AB">
      <w:pPr>
        <w:pStyle w:val="3"/>
      </w:pPr>
      <w:r>
        <w:t>Phần 2: Kết quả học tập</w:t>
      </w:r>
    </w:p>
    <w:p w14:paraId="3ED4A9A9">
      <w:pPr>
        <w:pStyle w:val="3"/>
      </w:pPr>
      <w:r>
        <w:t>Phần 3: Phân tích và nhận xét</w:t>
      </w:r>
    </w:p>
    <w:p w14:paraId="6A9DF6B0">
      <w:r>
        <w:br w:type="page"/>
      </w:r>
    </w:p>
    <w:p w14:paraId="04094BC6">
      <w:pPr>
        <w:pStyle w:val="2"/>
      </w:pPr>
      <w:r>
        <w:t>Phần 1: Giới thiệu chung</w:t>
      </w:r>
    </w:p>
    <w:p w14:paraId="078CE7FE">
      <w:pPr>
        <w:jc w:val="both"/>
      </w:pPr>
      <w:r>
        <w:t>Báo cáo học tập kỳ I nhằm tổng kết quá trình học tập và rèn luyện của sinh viên trong học kỳ vừa qua. Thông qua báo cáo này, sinh viên có thể nhìn nhận lại những thành tích đã đạt được, cũng như các khó khăn còn tồn tại trong quá trình học tập. Đồng thời, báo cáo cũng cung cấp thông tin quan trọng cho giảng viên và nhà trường trong việc đánh giá, theo dõi sự tiến bộ của sinh viên. Đây cũng là cơ sở để đưa ra những định hướng cải thiện phương pháp học tập, nâng cao tinh thần tự học, và phát huy năng lực cá nhân. Từ đó, sinh viên có thể rèn luyện tốt hơn, đạt kết quả cao hơn trong các kỳ học tiếp theo.</w:t>
      </w:r>
    </w:p>
    <w:p w14:paraId="2E1D4EEB">
      <w:pPr>
        <w:jc w:val="both"/>
      </w:pPr>
    </w:p>
    <w:p w14:paraId="3359C537">
      <w:pPr>
        <w:jc w:val="both"/>
      </w:pPr>
    </w:p>
    <w:p w14:paraId="5C319CB8">
      <w:pPr>
        <w:jc w:val="both"/>
      </w:pPr>
    </w:p>
    <w:p w14:paraId="56F30BC7">
      <w:pPr>
        <w:jc w:val="both"/>
      </w:pPr>
    </w:p>
    <w:p w14:paraId="60110924">
      <w:pPr>
        <w:jc w:val="both"/>
      </w:pPr>
    </w:p>
    <w:p w14:paraId="2F1742F8">
      <w:pPr>
        <w:jc w:val="both"/>
      </w:pPr>
    </w:p>
    <w:p w14:paraId="1B334106">
      <w:pPr>
        <w:jc w:val="both"/>
      </w:pPr>
    </w:p>
    <w:p w14:paraId="7C14E09A">
      <w:pPr>
        <w:jc w:val="both"/>
      </w:pPr>
    </w:p>
    <w:p w14:paraId="5B7376C8">
      <w:pPr>
        <w:jc w:val="both"/>
      </w:pPr>
    </w:p>
    <w:p w14:paraId="1D500CAC">
      <w:pPr>
        <w:jc w:val="both"/>
      </w:pPr>
    </w:p>
    <w:p w14:paraId="6A58DF70">
      <w:pPr>
        <w:jc w:val="both"/>
      </w:pPr>
    </w:p>
    <w:p w14:paraId="44C2D886">
      <w:pPr>
        <w:jc w:val="both"/>
      </w:pPr>
    </w:p>
    <w:p w14:paraId="3AA4DC03">
      <w:pPr>
        <w:jc w:val="both"/>
      </w:pPr>
    </w:p>
    <w:p w14:paraId="45E78B7C">
      <w:pPr>
        <w:jc w:val="both"/>
      </w:pPr>
    </w:p>
    <w:p w14:paraId="7DBD8B81">
      <w:pPr>
        <w:jc w:val="both"/>
      </w:pPr>
    </w:p>
    <w:p w14:paraId="17FDA2F5">
      <w:pPr>
        <w:jc w:val="both"/>
      </w:pPr>
    </w:p>
    <w:p w14:paraId="134BB8F5">
      <w:pPr>
        <w:jc w:val="both"/>
      </w:pPr>
    </w:p>
    <w:p w14:paraId="3932D314">
      <w:pPr>
        <w:jc w:val="both"/>
      </w:pPr>
    </w:p>
    <w:p w14:paraId="1A639B48">
      <w:pPr>
        <w:jc w:val="both"/>
      </w:pPr>
    </w:p>
    <w:p w14:paraId="52489F72">
      <w:pPr>
        <w:pStyle w:val="2"/>
      </w:pPr>
      <w:r>
        <w:t>Phần 2: Kết quả học tập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A6C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14:paraId="53F0DB38">
            <w:pPr>
              <w:spacing w:after="0" w:line="240" w:lineRule="auto"/>
            </w:pPr>
            <w:r>
              <w:t>Môn học</w:t>
            </w:r>
          </w:p>
        </w:tc>
        <w:tc>
          <w:tcPr>
            <w:tcW w:w="1728" w:type="dxa"/>
          </w:tcPr>
          <w:p w14:paraId="729BED1F">
            <w:pPr>
              <w:spacing w:after="0" w:line="240" w:lineRule="auto"/>
            </w:pPr>
            <w:r>
              <w:t>Điểm giữa kỳ</w:t>
            </w:r>
          </w:p>
        </w:tc>
        <w:tc>
          <w:tcPr>
            <w:tcW w:w="1728" w:type="dxa"/>
          </w:tcPr>
          <w:p w14:paraId="486AFF3B">
            <w:pPr>
              <w:spacing w:after="0" w:line="240" w:lineRule="auto"/>
            </w:pPr>
            <w:r>
              <w:t>Điểm cuối kỳ</w:t>
            </w:r>
          </w:p>
        </w:tc>
        <w:tc>
          <w:tcPr>
            <w:tcW w:w="1728" w:type="dxa"/>
          </w:tcPr>
          <w:p w14:paraId="328F6522">
            <w:pPr>
              <w:spacing w:after="0" w:line="240" w:lineRule="auto"/>
            </w:pPr>
            <w:r>
              <w:t>Điểm tổng kết</w:t>
            </w:r>
          </w:p>
        </w:tc>
        <w:tc>
          <w:tcPr>
            <w:tcW w:w="1728" w:type="dxa"/>
          </w:tcPr>
          <w:p w14:paraId="3550D32A">
            <w:pPr>
              <w:spacing w:after="0" w:line="240" w:lineRule="auto"/>
            </w:pPr>
            <w:r>
              <w:t>Xếp loại</w:t>
            </w:r>
          </w:p>
        </w:tc>
      </w:tr>
      <w:tr w14:paraId="77B0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1DE5F">
            <w:pPr>
              <w:spacing w:after="0" w:line="240" w:lineRule="auto"/>
            </w:pPr>
            <w:r>
              <w:t>Toán</w:t>
            </w:r>
          </w:p>
        </w:tc>
        <w:tc>
          <w:tcPr>
            <w:tcW w:w="1728" w:type="dxa"/>
          </w:tcPr>
          <w:p w14:paraId="78C8BDD1">
            <w:pPr>
              <w:spacing w:after="0" w:line="240" w:lineRule="auto"/>
            </w:pPr>
            <w:r>
              <w:t>7.5</w:t>
            </w:r>
          </w:p>
        </w:tc>
        <w:tc>
          <w:tcPr>
            <w:tcW w:w="1728" w:type="dxa"/>
          </w:tcPr>
          <w:p w14:paraId="60BAE1F8">
            <w:pPr>
              <w:spacing w:after="0" w:line="240" w:lineRule="auto"/>
            </w:pPr>
            <w:r>
              <w:t>8.0</w:t>
            </w:r>
          </w:p>
        </w:tc>
        <w:tc>
          <w:tcPr>
            <w:tcW w:w="1728" w:type="dxa"/>
          </w:tcPr>
          <w:p w14:paraId="78DA9B81">
            <w:pPr>
              <w:spacing w:after="0" w:line="240" w:lineRule="auto"/>
            </w:pPr>
            <w:r>
              <w:t>7.8</w:t>
            </w:r>
          </w:p>
        </w:tc>
        <w:tc>
          <w:tcPr>
            <w:tcW w:w="1728" w:type="dxa"/>
          </w:tcPr>
          <w:p w14:paraId="4C670953">
            <w:pPr>
              <w:spacing w:after="0" w:line="240" w:lineRule="auto"/>
            </w:pPr>
            <w:r>
              <w:t>Khá</w:t>
            </w:r>
          </w:p>
        </w:tc>
      </w:tr>
      <w:tr w14:paraId="2CEB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211E03E">
            <w:pPr>
              <w:spacing w:after="0" w:line="240" w:lineRule="auto"/>
            </w:pPr>
            <w:r>
              <w:t>Lập trình</w:t>
            </w:r>
          </w:p>
        </w:tc>
        <w:tc>
          <w:tcPr>
            <w:tcW w:w="1728" w:type="dxa"/>
          </w:tcPr>
          <w:p w14:paraId="150E4864">
            <w:pPr>
              <w:spacing w:after="0" w:line="240" w:lineRule="auto"/>
            </w:pPr>
            <w:r>
              <w:t>8.0</w:t>
            </w:r>
          </w:p>
        </w:tc>
        <w:tc>
          <w:tcPr>
            <w:tcW w:w="1728" w:type="dxa"/>
          </w:tcPr>
          <w:p w14:paraId="04FA03CE">
            <w:pPr>
              <w:spacing w:after="0" w:line="240" w:lineRule="auto"/>
            </w:pPr>
            <w:r>
              <w:t>8.5</w:t>
            </w:r>
          </w:p>
        </w:tc>
        <w:tc>
          <w:tcPr>
            <w:tcW w:w="1728" w:type="dxa"/>
          </w:tcPr>
          <w:p w14:paraId="77BD03A7">
            <w:pPr>
              <w:spacing w:after="0" w:line="240" w:lineRule="auto"/>
            </w:pPr>
            <w:r>
              <w:t>8.3</w:t>
            </w:r>
          </w:p>
        </w:tc>
        <w:tc>
          <w:tcPr>
            <w:tcW w:w="1728" w:type="dxa"/>
          </w:tcPr>
          <w:p w14:paraId="3C345554">
            <w:pPr>
              <w:spacing w:after="0" w:line="240" w:lineRule="auto"/>
            </w:pPr>
            <w:r>
              <w:t>Giỏi</w:t>
            </w:r>
          </w:p>
        </w:tc>
      </w:tr>
      <w:tr w14:paraId="3F32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05EC9B">
            <w:pPr>
              <w:spacing w:after="0" w:line="240" w:lineRule="auto"/>
            </w:pPr>
            <w:r>
              <w:t>Cơ sở dữ liệu</w:t>
            </w:r>
          </w:p>
        </w:tc>
        <w:tc>
          <w:tcPr>
            <w:tcW w:w="1728" w:type="dxa"/>
          </w:tcPr>
          <w:p w14:paraId="65C2FE27">
            <w:pPr>
              <w:spacing w:after="0" w:line="240" w:lineRule="auto"/>
            </w:pPr>
            <w:r>
              <w:t>7.0</w:t>
            </w:r>
          </w:p>
        </w:tc>
        <w:tc>
          <w:tcPr>
            <w:tcW w:w="1728" w:type="dxa"/>
          </w:tcPr>
          <w:p w14:paraId="667622B0">
            <w:pPr>
              <w:spacing w:after="0" w:line="240" w:lineRule="auto"/>
            </w:pPr>
            <w:r>
              <w:t>7.5</w:t>
            </w:r>
          </w:p>
        </w:tc>
        <w:tc>
          <w:tcPr>
            <w:tcW w:w="1728" w:type="dxa"/>
          </w:tcPr>
          <w:p w14:paraId="7695E762">
            <w:pPr>
              <w:spacing w:after="0" w:line="240" w:lineRule="auto"/>
            </w:pPr>
            <w:r>
              <w:t>7.3</w:t>
            </w:r>
          </w:p>
        </w:tc>
        <w:tc>
          <w:tcPr>
            <w:tcW w:w="1728" w:type="dxa"/>
          </w:tcPr>
          <w:p w14:paraId="10050C31">
            <w:pPr>
              <w:spacing w:after="0" w:line="240" w:lineRule="auto"/>
            </w:pPr>
            <w:r>
              <w:t>Khá</w:t>
            </w:r>
          </w:p>
        </w:tc>
      </w:tr>
      <w:tr w14:paraId="33EC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2AF526">
            <w:pPr>
              <w:spacing w:after="0" w:line="240" w:lineRule="auto"/>
            </w:pPr>
            <w:r>
              <w:t>Mạng máy tính</w:t>
            </w:r>
          </w:p>
        </w:tc>
        <w:tc>
          <w:tcPr>
            <w:tcW w:w="1728" w:type="dxa"/>
          </w:tcPr>
          <w:p w14:paraId="3C9C91F9">
            <w:pPr>
              <w:spacing w:after="0" w:line="240" w:lineRule="auto"/>
            </w:pPr>
            <w:r>
              <w:t>6.5</w:t>
            </w:r>
          </w:p>
        </w:tc>
        <w:tc>
          <w:tcPr>
            <w:tcW w:w="1728" w:type="dxa"/>
          </w:tcPr>
          <w:p w14:paraId="7E4B56D0">
            <w:pPr>
              <w:spacing w:after="0" w:line="240" w:lineRule="auto"/>
            </w:pPr>
            <w:r>
              <w:t>7.0</w:t>
            </w:r>
          </w:p>
        </w:tc>
        <w:tc>
          <w:tcPr>
            <w:tcW w:w="1728" w:type="dxa"/>
          </w:tcPr>
          <w:p w14:paraId="493D6AB2">
            <w:pPr>
              <w:spacing w:after="0" w:line="240" w:lineRule="auto"/>
            </w:pPr>
            <w:r>
              <w:t>6.8</w:t>
            </w:r>
          </w:p>
        </w:tc>
        <w:tc>
          <w:tcPr>
            <w:tcW w:w="1728" w:type="dxa"/>
          </w:tcPr>
          <w:p w14:paraId="32597FF2">
            <w:pPr>
              <w:spacing w:after="0" w:line="240" w:lineRule="auto"/>
            </w:pPr>
            <w:r>
              <w:t>Trung bình</w:t>
            </w:r>
          </w:p>
        </w:tc>
      </w:tr>
      <w:tr w14:paraId="3E8B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32B1C3F">
            <w:pPr>
              <w:spacing w:after="0" w:line="240" w:lineRule="auto"/>
            </w:pPr>
            <w:r>
              <w:t>Hệ điều hành</w:t>
            </w:r>
          </w:p>
        </w:tc>
        <w:tc>
          <w:tcPr>
            <w:tcW w:w="1728" w:type="dxa"/>
          </w:tcPr>
          <w:p w14:paraId="60B671B1">
            <w:pPr>
              <w:spacing w:after="0" w:line="240" w:lineRule="auto"/>
            </w:pPr>
            <w:r>
              <w:t>8.0</w:t>
            </w:r>
          </w:p>
        </w:tc>
        <w:tc>
          <w:tcPr>
            <w:tcW w:w="1728" w:type="dxa"/>
          </w:tcPr>
          <w:p w14:paraId="10A98FE2">
            <w:pPr>
              <w:spacing w:after="0" w:line="240" w:lineRule="auto"/>
            </w:pPr>
            <w:r>
              <w:t>9.0</w:t>
            </w:r>
          </w:p>
        </w:tc>
        <w:tc>
          <w:tcPr>
            <w:tcW w:w="1728" w:type="dxa"/>
          </w:tcPr>
          <w:p w14:paraId="256EA97E">
            <w:pPr>
              <w:spacing w:after="0" w:line="240" w:lineRule="auto"/>
            </w:pPr>
            <w:r>
              <w:t>8.5</w:t>
            </w:r>
          </w:p>
        </w:tc>
        <w:tc>
          <w:tcPr>
            <w:tcW w:w="1728" w:type="dxa"/>
          </w:tcPr>
          <w:p w14:paraId="3330A556">
            <w:pPr>
              <w:spacing w:after="0" w:line="240" w:lineRule="auto"/>
            </w:pPr>
            <w:r>
              <w:t>Giỏi</w:t>
            </w:r>
          </w:p>
        </w:tc>
      </w:tr>
    </w:tbl>
    <w:p w14:paraId="5EF91D02">
      <w:pPr>
        <w:pStyle w:val="2"/>
      </w:pPr>
      <w:r>
        <w:t>Phần 3: Phân tích và nhận xét</w:t>
      </w:r>
    </w:p>
    <w:p w14:paraId="11AE7BCF">
      <w:pPr>
        <w:jc w:val="both"/>
      </w:pPr>
      <w:r>
        <w:t>Kết quả học tập trong kỳ I cho thấy sinh viên đã đạt được nhiều thành tích tích cực, đặc biệt ở các môn chuyên ngành như Lập trình và Hệ điều hành. Tuy nhiên, một số môn như Mạng máy tính vẫn còn hạn chế, cần cải thiện. Điều này cho thấy sinh viên nên tập trung nhiều hơn vào việc rèn luyện tư duy hệ thống và thực hành. Tổng quan, kết quả học tập thể hiện sự tiến bộ rõ rệt và tiềm năng phát triển trong tương lai.</w:t>
      </w:r>
    </w:p>
    <w:sectPr>
      <w:headerReference r:id="rId6" w:type="first"/>
      <w:footerReference r:id="rId8" w:type="first"/>
      <w:headerReference r:id="rId5" w:type="default"/>
      <w:footerReference r:id="rId7" w:type="default"/>
      <w:pgSz w:w="12240" w:h="15840"/>
      <w:pgMar w:top="1440" w:right="1800" w:bottom="144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itka Banner">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9A749">
    <w:pPr>
      <w:pStyle w:val="18"/>
      <w:jc w:val="center"/>
      <w:rPr>
        <w:rFonts w:hint="default"/>
        <w:lang w:val="vi-VN"/>
      </w:rPr>
    </w:pPr>
    <w:r>
      <w:rPr>
        <w:rFonts w:hint="default"/>
        <w:lang w:val="vi-VN"/>
      </w:rPr>
      <w:t>1</w:t>
    </w:r>
    <w:bookmarkStart w:id="0" w:name="_GoBack"/>
    <w:bookmarkEnd w:id="0"/>
  </w:p>
  <w:p w14:paraId="27644717">
    <w:pPr>
      <w:pStyle w:val="18"/>
      <w:jc w:val="center"/>
      <w:rPr>
        <w:rFonts w:hint="default"/>
        <w:lang w:val="vi-VN"/>
      </w:rPr>
    </w:pPr>
  </w:p>
  <w:p w14:paraId="3EFDA71F">
    <w:pPr>
      <w:pStyle w:val="18"/>
      <w:jc w:val="center"/>
      <w:rPr>
        <w:rFonts w:hint="default"/>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A36B5">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A9A15">
    <w:pPr>
      <w:pStyle w:val="19"/>
      <w:jc w:val="center"/>
    </w:pPr>
    <w:r>
      <w:rPr>
        <w:rFonts w:hint="default"/>
        <w:lang w:val="vi-VN"/>
      </w:rPr>
      <w:t>Học Viện Công Nghệ Bưu Chính Viễn Thông</w:t>
    </w:r>
    <w:r>
      <w:t xml:space="preserve"> – Báo cáo học tập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1DAE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A955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Duy Nguyễn</cp:lastModifiedBy>
  <dcterms:modified xsi:type="dcterms:W3CDTF">2025-09-27T16:33:47Z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C124233B5BA5489AB57B1ABC7382AF01_12</vt:lpwstr>
  </property>
</Properties>
</file>