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C95B3D">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C95B3D">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C95B3D">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C95B3D">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C95B3D">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C95B3D">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C95B3D">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C95B3D">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C95B3D">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C95B3D">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C95B3D">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C95B3D">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C95B3D">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C95B3D">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C95B3D">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C95B3D">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C95B3D">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C95B3D">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C95B3D">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C95B3D">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r>
        <w:lastRenderedPageBreak/>
        <w:t>Chương 1: MÔ HÌNH CBOW</w:t>
      </w:r>
    </w:p>
    <w:p w14:paraId="737BE6ED" w14:textId="77777777" w:rsidR="0067373E" w:rsidRDefault="0067373E" w:rsidP="0067373E">
      <w:pPr>
        <w:pStyle w:val="Tiumccp1"/>
      </w:pPr>
      <w:r>
        <w:rPr>
          <w:lang w:val="vi-VN"/>
        </w:rPr>
        <w:t xml:space="preserve">1.1 </w:t>
      </w:r>
      <w:r>
        <w:t xml:space="preserve">Giói thiệu mô hình </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t xml:space="preserve">Input được nhân trọng số tới hàm ẩn điều chỉnh trong số tính toán và từ tầng ẩn tiếp tục nhân trọng số rồi đưa vào hàm softmax đưa ra </w:t>
      </w:r>
      <w:r>
        <w:lastRenderedPageBreak/>
        <w:t xml:space="preserve">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Xác suất ngữ cảnh một từ CBOW cho ra có thể là trung bình của 2 kết quả. Ví dụ Apple có thể là trái táo vừa là tên công ty, CBOW sẽ đưa ra xác suất ngữ 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lastRenderedPageBreak/>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bookmarkStart w:id="3" w:name="_GoBack"/>
      <w:bookmarkEnd w:id="3"/>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4" w:name="_Toc38785929"/>
      <w:r>
        <w:t xml:space="preserve">2.1 </w:t>
      </w:r>
      <w:bookmarkEnd w:id="4"/>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w:t>
      </w:r>
      <w:r w:rsidRPr="006D6FF9">
        <w:lastRenderedPageBreak/>
        <w:t xml:space="preserve">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Ta có thể tách (6) thành phép tổng sau:</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r>
        <w:t>Tổng quát hóa cho T dữ liệu khi áp dụng Stochastic gradient descent,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C95B3D"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C95B3D"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8F192FF" w:rsidR="00471567" w:rsidRPr="00EC6D26" w:rsidRDefault="00C95B3D"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r>
        <w:t>Ti</w:t>
      </w:r>
      <w:r w:rsidR="009310A5">
        <w:t>ếp theo ta sẽ hiệu chỉnh cho</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310A5"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2.4 Nhược điểm của softmax</w:t>
      </w:r>
    </w:p>
    <w:p w14:paraId="55CED10B" w14:textId="5E687002" w:rsidR="00EB2A73" w:rsidRDefault="00EB2A73" w:rsidP="00EB2A73">
      <w:pPr>
        <w:pStyle w:val="Nidungvnbn"/>
      </w:pPr>
      <w:r>
        <w:t>Ở cuối mỗi kết quả của mô hình ta sẽ chuẩn hóa kết quả bằng hàm softmax:</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Ta có thể thấy rằng cứ mỗi lần tính softmax ta đều phải tính tổng:</w:t>
      </w:r>
    </w:p>
    <w:p w14:paraId="42BE5E2F" w14:textId="28621057" w:rsidR="003235DE" w:rsidRPr="003235DE" w:rsidRDefault="003235DE"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r>
        <w:t>Nếu bộ từ điển của ta lớn (V lớn), ta không những phải tính tổng rất nhiều mà mỗi lần quét các từ ta đều phải thực hiện lại tính tổng này. Dẫn đến việc phép tính mà ta thực hiện sẽ rất nhiều làm giảm hiệu suất của chương trình.</w:t>
      </w:r>
    </w:p>
    <w:p w14:paraId="68D11661" w14:textId="4B83696E" w:rsidR="006C416C" w:rsidRDefault="003235DE" w:rsidP="006C416C">
      <w:pPr>
        <w:pStyle w:val="Nidungvnbn"/>
      </w:pPr>
      <w:r>
        <w:t>Chưa kể việc V càng lớn thì sẽ khiến xác suất p ngày càng nhỏ dễ dẫn đến tình trạng vanishing gradient, lượng trọng số của mỗi lần hiệu chỉnh sẽ rất nhỏ, góp phần làm giảm hiệu suất của chương trình.</w:t>
      </w:r>
    </w:p>
    <w:p w14:paraId="5719ED8D" w14:textId="389F2419" w:rsidR="00EB2A73" w:rsidRPr="00EB2A73" w:rsidRDefault="00EB2A73" w:rsidP="00EB2A73">
      <w:pPr>
        <w:pStyle w:val="Tiumccp1"/>
      </w:pPr>
      <w:r>
        <w:t>2.5 Phương hướng cải tiến</w:t>
      </w: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C95B3D" w:rsidP="00995587">
      <w:pPr>
        <w:pStyle w:val="Reference"/>
        <w:rPr>
          <w:lang w:val="vi-VN"/>
        </w:rPr>
      </w:pPr>
      <w:hyperlink r:id="rId20"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4970B" w14:textId="77777777" w:rsidR="00B6402B" w:rsidRDefault="00B6402B" w:rsidP="00453AB1">
      <w:r>
        <w:separator/>
      </w:r>
    </w:p>
  </w:endnote>
  <w:endnote w:type="continuationSeparator" w:id="0">
    <w:p w14:paraId="64C467E4" w14:textId="77777777" w:rsidR="00B6402B" w:rsidRDefault="00B6402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61E09" w14:textId="77777777" w:rsidR="00B6402B" w:rsidRDefault="00B6402B" w:rsidP="00453AB1">
      <w:r>
        <w:separator/>
      </w:r>
    </w:p>
  </w:footnote>
  <w:footnote w:type="continuationSeparator" w:id="0">
    <w:p w14:paraId="1C0B9B7D" w14:textId="77777777" w:rsidR="00B6402B" w:rsidRDefault="00B6402B"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95B3D" w:rsidRDefault="00C95B3D">
    <w:pPr>
      <w:pStyle w:val="Header"/>
      <w:jc w:val="center"/>
    </w:pPr>
  </w:p>
  <w:p w14:paraId="15C9DD20" w14:textId="77777777" w:rsidR="00C95B3D" w:rsidRDefault="00C95B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54919934" w:rsidR="00C95B3D" w:rsidRDefault="00C95B3D">
        <w:pPr>
          <w:pStyle w:val="Header"/>
          <w:jc w:val="center"/>
        </w:pPr>
        <w:r>
          <w:fldChar w:fldCharType="begin"/>
        </w:r>
        <w:r>
          <w:instrText xml:space="preserve"> PAGE   \* MERGEFORMAT </w:instrText>
        </w:r>
        <w:r>
          <w:fldChar w:fldCharType="separate"/>
        </w:r>
        <w:r w:rsidR="0067373E">
          <w:rPr>
            <w:noProof/>
          </w:rPr>
          <w:t>ii</w:t>
        </w:r>
        <w:r>
          <w:rPr>
            <w:noProof/>
          </w:rPr>
          <w:fldChar w:fldCharType="end"/>
        </w:r>
      </w:p>
    </w:sdtContent>
  </w:sdt>
  <w:p w14:paraId="125BF034" w14:textId="77777777" w:rsidR="00C95B3D" w:rsidRDefault="00C95B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4C7724AA" w:rsidR="00C95B3D" w:rsidRDefault="00C95B3D">
    <w:pPr>
      <w:pStyle w:val="Header"/>
      <w:jc w:val="center"/>
    </w:pPr>
    <w:r>
      <w:fldChar w:fldCharType="begin"/>
    </w:r>
    <w:r>
      <w:instrText xml:space="preserve"> PAGE   \* MERGEFORMAT </w:instrText>
    </w:r>
    <w:r>
      <w:fldChar w:fldCharType="separate"/>
    </w:r>
    <w:r w:rsidR="0067373E">
      <w:rPr>
        <w:noProof/>
      </w:rPr>
      <w:t>6</w:t>
    </w:r>
    <w:r>
      <w:rPr>
        <w:noProof/>
      </w:rPr>
      <w:fldChar w:fldCharType="end"/>
    </w:r>
  </w:p>
  <w:p w14:paraId="3FF85E3D" w14:textId="77777777" w:rsidR="00C95B3D" w:rsidRDefault="00C95B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7"/>
  </w:num>
  <w:num w:numId="3">
    <w:abstractNumId w:val="10"/>
  </w:num>
  <w:num w:numId="4">
    <w:abstractNumId w:val="16"/>
  </w:num>
  <w:num w:numId="5">
    <w:abstractNumId w:val="3"/>
  </w:num>
  <w:num w:numId="6">
    <w:abstractNumId w:val="15"/>
  </w:num>
  <w:num w:numId="7">
    <w:abstractNumId w:val="8"/>
  </w:num>
  <w:num w:numId="8">
    <w:abstractNumId w:val="11"/>
  </w:num>
  <w:num w:numId="9">
    <w:abstractNumId w:val="6"/>
  </w:num>
  <w:num w:numId="10">
    <w:abstractNumId w:val="7"/>
  </w:num>
  <w:num w:numId="11">
    <w:abstractNumId w:val="13"/>
  </w:num>
  <w:num w:numId="12">
    <w:abstractNumId w:val="9"/>
  </w:num>
  <w:num w:numId="13">
    <w:abstractNumId w:val="1"/>
  </w:num>
  <w:num w:numId="14">
    <w:abstractNumId w:val="4"/>
  </w:num>
  <w:num w:numId="15">
    <w:abstractNumId w:val="5"/>
  </w:num>
  <w:num w:numId="16">
    <w:abstractNumId w:val="2"/>
  </w:num>
  <w:num w:numId="17">
    <w:abstractNumId w:val="14"/>
  </w:num>
  <w:num w:numId="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10A5"/>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402B"/>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egis4048.github.io/demystifying_neural_network_in_skip_gram_language_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01058-87D5-4285-BCF2-42846DFF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93176</TotalTime>
  <Pages>21</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263</cp:revision>
  <dcterms:created xsi:type="dcterms:W3CDTF">2014-12-03T16:17:00Z</dcterms:created>
  <dcterms:modified xsi:type="dcterms:W3CDTF">2020-06-13T02:25:00Z</dcterms:modified>
</cp:coreProperties>
</file>