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F5" w:rsidRDefault="009A1DF2">
      <w:pPr>
        <w:pStyle w:val="Standard"/>
      </w:pPr>
      <w:bookmarkStart w:id="0" w:name="_GoBack"/>
      <w:bookmarkEnd w:id="0"/>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135648" cy="131509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135648" cy="1315090"/>
                    </a:xfrm>
                    <a:prstGeom prst="rect">
                      <a:avLst/>
                    </a:prstGeom>
                    <a:noFill/>
                    <a:ln>
                      <a:noFill/>
                      <a:prstDash/>
                    </a:ln>
                  </pic:spPr>
                </pic:pic>
              </a:graphicData>
            </a:graphic>
          </wp:anchor>
        </w:drawing>
      </w: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E272F5">
      <w:pPr>
        <w:pStyle w:val="Standard"/>
      </w:pPr>
    </w:p>
    <w:p w:rsidR="00E272F5" w:rsidRDefault="009A1DF2">
      <w:pPr>
        <w:pStyle w:val="Standard"/>
        <w:rPr>
          <w:lang w:val="fr-FR"/>
        </w:rPr>
      </w:pPr>
      <w:r>
        <w:rPr>
          <w:lang w:val="fr-FR"/>
        </w:rPr>
        <w:t>UFR de Mathematiques et Informatique</w:t>
      </w:r>
    </w:p>
    <w:p w:rsidR="00E272F5" w:rsidRDefault="009A1DF2">
      <w:pPr>
        <w:pStyle w:val="Standard"/>
        <w:rPr>
          <w:lang w:val="fr-FR"/>
        </w:rPr>
      </w:pPr>
      <w:r>
        <w:rPr>
          <w:lang w:val="fr-FR"/>
        </w:rPr>
        <w:t>Master 2 MLDS 2017 – 2018</w:t>
      </w:r>
    </w:p>
    <w:p w:rsidR="00E272F5" w:rsidRDefault="009A1DF2">
      <w:pPr>
        <w:pStyle w:val="Standard"/>
        <w:rPr>
          <w:lang w:val="fr-FR"/>
        </w:rPr>
      </w:pPr>
      <w:r>
        <w:rPr>
          <w:lang w:val="fr-FR"/>
        </w:rPr>
        <w:t>RAPPORT DE PROJET</w:t>
      </w:r>
    </w:p>
    <w:p w:rsidR="00E272F5" w:rsidRDefault="009A1DF2">
      <w:pPr>
        <w:pStyle w:val="Standard"/>
        <w:rPr>
          <w:lang w:val="fr-FR"/>
        </w:rPr>
      </w:pPr>
      <w:r>
        <w:rPr>
          <w:lang w:val="fr-FR"/>
        </w:rPr>
        <w:t>VISUALISATION</w:t>
      </w:r>
    </w:p>
    <w:p w:rsidR="00E272F5" w:rsidRDefault="009A1DF2">
      <w:pPr>
        <w:pStyle w:val="Standard"/>
        <w:rPr>
          <w:lang w:val="fr-FR"/>
        </w:rPr>
      </w:pPr>
      <w:r>
        <w:rPr>
          <w:lang w:val="fr-FR"/>
        </w:rPr>
        <w:t>Professeur: Nicoleta Rogovschi</w:t>
      </w:r>
    </w:p>
    <w:p w:rsidR="00E272F5" w:rsidRDefault="009A1DF2">
      <w:pPr>
        <w:pStyle w:val="Standard"/>
        <w:rPr>
          <w:lang w:val="fr-FR"/>
        </w:rPr>
      </w:pPr>
      <w:r>
        <w:rPr>
          <w:lang w:val="fr-FR"/>
        </w:rPr>
        <w:t>Etudiant: BA Kalidou</w:t>
      </w:r>
    </w:p>
    <w:p w:rsidR="00E272F5" w:rsidRDefault="009A1DF2">
      <w:pPr>
        <w:pStyle w:val="Standard"/>
        <w:rPr>
          <w:lang w:val="fr-FR"/>
        </w:rPr>
      </w:pPr>
      <w:r>
        <w:rPr>
          <w:lang w:val="fr-FR"/>
        </w:rPr>
        <w:t>NGUYEN Ngoc Tu</w:t>
      </w:r>
    </w:p>
    <w:p w:rsidR="00E272F5" w:rsidRDefault="00E272F5">
      <w:pPr>
        <w:pStyle w:val="Standard"/>
        <w:rPr>
          <w:lang w:val="fr-FR"/>
        </w:rPr>
      </w:pPr>
    </w:p>
    <w:p w:rsidR="00E272F5" w:rsidRDefault="00E272F5">
      <w:pPr>
        <w:pStyle w:val="Standard"/>
        <w:rPr>
          <w:lang w:val="fr-FR"/>
        </w:rPr>
      </w:pPr>
    </w:p>
    <w:p w:rsidR="00E272F5" w:rsidRDefault="009A1DF2">
      <w:pPr>
        <w:pStyle w:val="Standard"/>
        <w:rPr>
          <w:lang w:val="fr-FR"/>
        </w:rPr>
      </w:pPr>
      <w:r>
        <w:rPr>
          <w:lang w:val="fr-FR"/>
        </w:rPr>
        <w:t xml:space="preserve">I. </w:t>
      </w:r>
      <w:r>
        <w:rPr>
          <w:lang w:val="fr-FR"/>
        </w:rPr>
        <w:t>Introduction</w:t>
      </w:r>
    </w:p>
    <w:p w:rsidR="00E272F5" w:rsidRPr="00D33267" w:rsidRDefault="009A1DF2">
      <w:pPr>
        <w:pStyle w:val="Standard"/>
        <w:rPr>
          <w:lang w:val="fr-FR"/>
        </w:rPr>
      </w:pPr>
      <w:r>
        <w:rPr>
          <w:color w:val="222222"/>
          <w:lang w:val="fr-FR"/>
        </w:rPr>
        <w:t xml:space="preserve">La </w:t>
      </w:r>
      <w:r>
        <w:rPr>
          <w:b/>
          <w:color w:val="222222"/>
          <w:lang w:val="fr-FR"/>
        </w:rPr>
        <w:t xml:space="preserve">visualisation des données </w:t>
      </w:r>
      <w:r>
        <w:rPr>
          <w:color w:val="222222"/>
          <w:lang w:val="fr-FR"/>
        </w:rPr>
        <w:t>est un ensemble de méthodes de représentation graphique, en deux ou trois dimensions, utilisant ou non de la couleur et des trames. Les moyens informatiques permettent de représenter des ensembles complexes de donn</w:t>
      </w:r>
      <w:r>
        <w:rPr>
          <w:color w:val="222222"/>
          <w:lang w:val="fr-FR"/>
        </w:rPr>
        <w:t>ées, de manière plus simple, didactique et pédagogique.</w:t>
      </w:r>
    </w:p>
    <w:p w:rsidR="00E272F5" w:rsidRDefault="009A1DF2">
      <w:pPr>
        <w:pStyle w:val="Standard"/>
        <w:rPr>
          <w:color w:val="222222"/>
          <w:lang w:val="fr-FR"/>
        </w:rPr>
      </w:pPr>
      <w:r>
        <w:rPr>
          <w:color w:val="222222"/>
          <w:lang w:val="fr-FR"/>
        </w:rPr>
        <w:t>Methodes de visualisation</w:t>
      </w:r>
    </w:p>
    <w:p w:rsidR="00E272F5" w:rsidRDefault="009A1DF2">
      <w:pPr>
        <w:pStyle w:val="Standard"/>
        <w:numPr>
          <w:ilvl w:val="0"/>
          <w:numId w:val="1"/>
        </w:numPr>
      </w:pPr>
      <w:r>
        <w:rPr>
          <w:color w:val="222222"/>
          <w:lang w:val="fr-FR"/>
        </w:rPr>
        <w:t>ACP</w:t>
      </w:r>
    </w:p>
    <w:p w:rsidR="00E272F5" w:rsidRPr="00D33267" w:rsidRDefault="009A1DF2">
      <w:pPr>
        <w:pStyle w:val="NormalWeb"/>
        <w:shd w:val="clear" w:color="auto" w:fill="FFFFFF"/>
        <w:spacing w:before="120" w:after="120"/>
        <w:rPr>
          <w:lang w:val="fr-FR"/>
        </w:rPr>
      </w:pPr>
      <w:r>
        <w:rPr>
          <w:rFonts w:ascii="Arial" w:hAnsi="Arial" w:cs="Arial"/>
          <w:color w:val="222222"/>
          <w:sz w:val="21"/>
          <w:szCs w:val="21"/>
          <w:shd w:val="clear" w:color="auto" w:fill="FFFFFF"/>
          <w:lang w:val="fr-FR"/>
        </w:rPr>
        <w:t>L'</w:t>
      </w:r>
      <w:r>
        <w:rPr>
          <w:rFonts w:ascii="Arial" w:hAnsi="Arial" w:cs="Arial"/>
          <w:b/>
          <w:bCs/>
          <w:color w:val="222222"/>
          <w:sz w:val="21"/>
          <w:szCs w:val="21"/>
          <w:shd w:val="clear" w:color="auto" w:fill="FFFFFF"/>
          <w:lang w:val="fr-FR"/>
        </w:rPr>
        <w:t>analyse en composantes principales</w:t>
      </w:r>
      <w:r>
        <w:rPr>
          <w:rFonts w:ascii="Arial" w:hAnsi="Arial" w:cs="Arial"/>
          <w:color w:val="222222"/>
          <w:sz w:val="21"/>
          <w:szCs w:val="21"/>
          <w:shd w:val="clear" w:color="auto" w:fill="FFFFFF"/>
          <w:lang w:val="fr-FR"/>
        </w:rPr>
        <w:t> (</w:t>
      </w:r>
      <w:r>
        <w:rPr>
          <w:rFonts w:ascii="Arial" w:hAnsi="Arial" w:cs="Arial"/>
          <w:b/>
          <w:bCs/>
          <w:color w:val="222222"/>
          <w:sz w:val="21"/>
          <w:szCs w:val="21"/>
          <w:shd w:val="clear" w:color="auto" w:fill="FFFFFF"/>
          <w:lang w:val="fr-FR"/>
        </w:rPr>
        <w:t>ACP</w:t>
      </w:r>
      <w:r>
        <w:rPr>
          <w:rFonts w:ascii="Arial" w:hAnsi="Arial" w:cs="Arial"/>
          <w:color w:val="222222"/>
          <w:sz w:val="21"/>
          <w:szCs w:val="21"/>
          <w:shd w:val="clear" w:color="auto" w:fill="FFFFFF"/>
          <w:lang w:val="fr-FR"/>
        </w:rPr>
        <w:t> ou </w:t>
      </w:r>
      <w:r>
        <w:rPr>
          <w:rFonts w:ascii="Arial" w:hAnsi="Arial" w:cs="Arial"/>
          <w:b/>
          <w:bCs/>
          <w:color w:val="222222"/>
          <w:sz w:val="21"/>
          <w:szCs w:val="21"/>
          <w:shd w:val="clear" w:color="auto" w:fill="FFFFFF"/>
          <w:lang w:val="fr-FR"/>
        </w:rPr>
        <w:t>PCA</w:t>
      </w:r>
      <w:r>
        <w:rPr>
          <w:rFonts w:ascii="Arial" w:hAnsi="Arial" w:cs="Arial"/>
          <w:color w:val="222222"/>
          <w:sz w:val="21"/>
          <w:szCs w:val="21"/>
          <w:shd w:val="clear" w:color="auto" w:fill="FFFFFF"/>
          <w:lang w:val="fr-FR"/>
        </w:rPr>
        <w:t> en anglais pour </w:t>
      </w:r>
      <w:r>
        <w:rPr>
          <w:rStyle w:val="lang-en"/>
          <w:rFonts w:ascii="Arial" w:hAnsi="Arial" w:cs="Arial"/>
          <w:i/>
          <w:iCs/>
          <w:color w:val="222222"/>
          <w:sz w:val="21"/>
          <w:szCs w:val="21"/>
          <w:shd w:val="clear" w:color="auto" w:fill="FFFFFF"/>
          <w:lang w:val="fr-FR"/>
        </w:rPr>
        <w:t>principal component analysis</w:t>
      </w:r>
      <w:r>
        <w:rPr>
          <w:rFonts w:ascii="Arial" w:hAnsi="Arial" w:cs="Arial"/>
          <w:color w:val="222222"/>
          <w:sz w:val="21"/>
          <w:szCs w:val="21"/>
          <w:shd w:val="clear" w:color="auto" w:fill="FFFFFF"/>
          <w:lang w:val="fr-FR"/>
        </w:rPr>
        <w:t>) est une méthode de la famille de l'</w:t>
      </w:r>
      <w:r>
        <w:rPr>
          <w:rFonts w:ascii="Arial" w:hAnsi="Arial" w:cs="Arial"/>
          <w:sz w:val="21"/>
          <w:szCs w:val="21"/>
          <w:shd w:val="clear" w:color="auto" w:fill="FFFFFF"/>
          <w:lang w:val="fr-FR"/>
        </w:rPr>
        <w:t>analyse des données</w:t>
      </w:r>
      <w:r>
        <w:rPr>
          <w:rFonts w:ascii="Arial" w:hAnsi="Arial" w:cs="Arial"/>
          <w:color w:val="222222"/>
          <w:sz w:val="21"/>
          <w:szCs w:val="21"/>
          <w:shd w:val="clear" w:color="auto" w:fill="FFFFFF"/>
          <w:lang w:val="fr-FR"/>
        </w:rPr>
        <w:t> et plus généralement</w:t>
      </w:r>
      <w:r>
        <w:rPr>
          <w:rFonts w:ascii="Arial" w:hAnsi="Arial" w:cs="Arial"/>
          <w:color w:val="222222"/>
          <w:sz w:val="21"/>
          <w:szCs w:val="21"/>
          <w:shd w:val="clear" w:color="auto" w:fill="FFFFFF"/>
          <w:lang w:val="fr-FR"/>
        </w:rPr>
        <w:t xml:space="preserve"> de la </w:t>
      </w:r>
      <w:r>
        <w:rPr>
          <w:rFonts w:ascii="Arial" w:hAnsi="Arial" w:cs="Arial"/>
          <w:sz w:val="21"/>
          <w:szCs w:val="21"/>
          <w:shd w:val="clear" w:color="auto" w:fill="FFFFFF"/>
          <w:lang w:val="fr-FR"/>
        </w:rPr>
        <w:t>statistique multivariée</w:t>
      </w:r>
      <w:r>
        <w:rPr>
          <w:rFonts w:ascii="Arial" w:hAnsi="Arial" w:cs="Arial"/>
          <w:color w:val="222222"/>
          <w:sz w:val="21"/>
          <w:szCs w:val="21"/>
          <w:shd w:val="clear" w:color="auto" w:fill="FFFFFF"/>
          <w:lang w:val="fr-FR"/>
        </w:rPr>
        <w:t>, qui consiste à transformer des variables liées entre elles (dites « corrélées » en statistique) en nouvelles variables décorrélées les unes des autres. Ces nouvelles variables sont nommées « composantes principales », ou axe</w:t>
      </w:r>
      <w:r>
        <w:rPr>
          <w:rFonts w:ascii="Arial" w:hAnsi="Arial" w:cs="Arial"/>
          <w:color w:val="222222"/>
          <w:sz w:val="21"/>
          <w:szCs w:val="21"/>
          <w:shd w:val="clear" w:color="auto" w:fill="FFFFFF"/>
          <w:lang w:val="fr-FR"/>
        </w:rPr>
        <w:t xml:space="preserve">s principaux. Elle permet au praticien de réduire le nombre de variables et de rendre l'information moins redondante. </w:t>
      </w:r>
      <w:r>
        <w:rPr>
          <w:rFonts w:ascii="Arial" w:hAnsi="Arial" w:cs="Arial"/>
          <w:color w:val="222222"/>
          <w:sz w:val="21"/>
          <w:szCs w:val="21"/>
          <w:lang w:val="fr-FR"/>
        </w:rPr>
        <w:t>L'ACP est majoritairement utilisée pour décrire et visualiser des données.</w:t>
      </w:r>
    </w:p>
    <w:p w:rsidR="00E272F5" w:rsidRDefault="009A1DF2">
      <w:pPr>
        <w:pStyle w:val="Standard"/>
        <w:numPr>
          <w:ilvl w:val="0"/>
          <w:numId w:val="1"/>
        </w:numPr>
      </w:pPr>
      <w:r>
        <w:rPr>
          <w:color w:val="222222"/>
          <w:lang w:val="fr-FR"/>
        </w:rPr>
        <w:t>ADL</w:t>
      </w:r>
    </w:p>
    <w:p w:rsidR="00E272F5" w:rsidRDefault="009A1DF2">
      <w:pPr>
        <w:pStyle w:val="Standard"/>
        <w:jc w:val="both"/>
        <w:rPr>
          <w:lang w:val="fr-FR"/>
        </w:rPr>
      </w:pPr>
      <w:r>
        <w:rPr>
          <w:lang w:val="fr-FR"/>
        </w:rPr>
        <w:t>C’est une méthode pour l'analyse de données de grande dimen</w:t>
      </w:r>
      <w:r>
        <w:rPr>
          <w:lang w:val="fr-FR"/>
        </w:rPr>
        <w:t>sion dans le cas de l’apprentissage supervisé (les classes (les labels) sont disponibles dans l’ensemble de données). Elle trouve un espace à faible dimension optimal telle que, lorsque les points sont projetés, les données de différentes classes sont bien</w:t>
      </w:r>
      <w:r>
        <w:rPr>
          <w:lang w:val="fr-FR"/>
        </w:rPr>
        <w:t xml:space="preserve"> séparées. Elle est utile pour l’extraction des caractéristiques pour faciliter la classification supervisée.</w:t>
      </w:r>
    </w:p>
    <w:p w:rsidR="00E272F5" w:rsidRDefault="009A1DF2">
      <w:pPr>
        <w:pStyle w:val="Standard"/>
        <w:numPr>
          <w:ilvl w:val="0"/>
          <w:numId w:val="1"/>
        </w:numPr>
      </w:pPr>
      <w:r>
        <w:rPr>
          <w:color w:val="222222"/>
          <w:lang w:val="fr-FR"/>
        </w:rPr>
        <w:t>MDS</w:t>
      </w:r>
    </w:p>
    <w:p w:rsidR="00E272F5" w:rsidRDefault="009A1DF2">
      <w:pPr>
        <w:pStyle w:val="Standard"/>
        <w:rPr>
          <w:lang w:val="fr-FR"/>
        </w:rPr>
      </w:pPr>
      <w:r>
        <w:rPr>
          <w:lang w:val="fr-FR"/>
        </w:rPr>
        <w:t>C’est un ensemble de techniques de réduction de la dimension qui projettent les distances entre les observations d’un espace à grandes dimensi</w:t>
      </w:r>
      <w:r>
        <w:rPr>
          <w:lang w:val="fr-FR"/>
        </w:rPr>
        <w:t>ons dans un espace de petites dimensions. Il trouve une configuration des points dans un espace de faible dimensions dont les distances inter-points correspondent aux dissimilarités dans les grandes dimensions.</w:t>
      </w:r>
    </w:p>
    <w:p w:rsidR="00E272F5" w:rsidRDefault="009A1DF2">
      <w:pPr>
        <w:pStyle w:val="Standard"/>
        <w:numPr>
          <w:ilvl w:val="0"/>
          <w:numId w:val="1"/>
        </w:numPr>
      </w:pPr>
      <w:r>
        <w:rPr>
          <w:color w:val="222222"/>
          <w:lang w:val="fr-FR"/>
        </w:rPr>
        <w:t>Isomap</w:t>
      </w:r>
    </w:p>
    <w:p w:rsidR="00E272F5" w:rsidRDefault="009A1DF2">
      <w:pPr>
        <w:pStyle w:val="Standard"/>
        <w:rPr>
          <w:lang w:val="fr-FR"/>
        </w:rPr>
      </w:pPr>
      <w:r>
        <w:rPr>
          <w:lang w:val="fr-FR"/>
        </w:rPr>
        <w:t>Isomap est un représentant des méthode</w:t>
      </w:r>
      <w:r>
        <w:rPr>
          <w:lang w:val="fr-FR"/>
        </w:rPr>
        <w:t>s de cartographie isométrique, et étend l'échelle multidimensionnelle métrique (MDS) en intégrant les distances géodésiques imposées par un graphe pondéré. Pour être précis, la mise à l'échelle classique de la MDS métrique effectue un encastrement de faibl</w:t>
      </w:r>
      <w:r>
        <w:rPr>
          <w:lang w:val="fr-FR"/>
        </w:rPr>
        <w:t>e dimension basé sur la distance par paires entre les points de données, qui est généralement mesurée en utilisant la distance euclidienne linéaire. Isomap se distingue par son utilisation de la distance géodésique induite par un graphe de voisinage intégr</w:t>
      </w:r>
      <w:r>
        <w:rPr>
          <w:lang w:val="fr-FR"/>
        </w:rPr>
        <w:t xml:space="preserve">é dans la mise à l'échelle classique. Ceci est fait pour incorporer la structure de collecteur dans l'intégration </w:t>
      </w:r>
      <w:r>
        <w:rPr>
          <w:lang w:val="fr-FR"/>
        </w:rPr>
        <w:lastRenderedPageBreak/>
        <w:t>résultante. Isomap définit la distance géodésique comme étant la somme des poids de bord le long du chemin le plus court entre deux nœuds (cal</w:t>
      </w:r>
      <w:r>
        <w:rPr>
          <w:lang w:val="fr-FR"/>
        </w:rPr>
        <w:t>culé à l'aide de l'algorithme de Dijkstra, par exemple). Les n premiers vecteurs propres de la matrice de distance géodésique représentent les coordonnées dans le nouvel espace euclidien n-dimensionnel.</w:t>
      </w:r>
    </w:p>
    <w:p w:rsidR="00E272F5" w:rsidRDefault="009A1DF2">
      <w:pPr>
        <w:pStyle w:val="Standard"/>
        <w:numPr>
          <w:ilvl w:val="0"/>
          <w:numId w:val="1"/>
        </w:numPr>
      </w:pPr>
      <w:r>
        <w:rPr>
          <w:color w:val="222222"/>
          <w:lang w:val="fr-FR"/>
        </w:rPr>
        <w:t>LLE</w:t>
      </w:r>
    </w:p>
    <w:p w:rsidR="00E272F5" w:rsidRDefault="009A1DF2">
      <w:pPr>
        <w:pStyle w:val="Standard"/>
      </w:pPr>
      <w:r>
        <w:rPr>
          <w:lang w:val="fr-FR"/>
        </w:rPr>
        <w:t>L'inclusion locale linéaire (LLE) a été présentée</w:t>
      </w:r>
      <w:r>
        <w:rPr>
          <w:lang w:val="fr-FR"/>
        </w:rPr>
        <w:t xml:space="preserve"> à peu près au même moment que l'Isomap. Il a plusieurs avantages sur Isomap, y compris une optimisation plus rapide lorsqu'il est mis en œuvre pour tirer parti des algorithmes de matrice clairsemée, et de meilleurs résultats avec de nombreux problèmes. LL</w:t>
      </w:r>
      <w:r>
        <w:rPr>
          <w:lang w:val="fr-FR"/>
        </w:rPr>
        <w:t>E commence également par trouver un ensemble des voisins les plus proches de chaque point. Il calcule ensuite un ensemble de poids pour chaque point qui décrit le mieux le point comme une combinaison linéaire de ses voisins. Enfin, il utilise une technique</w:t>
      </w:r>
      <w:r>
        <w:rPr>
          <w:lang w:val="fr-FR"/>
        </w:rPr>
        <w:t xml:space="preserve"> d'optimisation basée sur le vecteur propre pour trouver l'encastrement de points de faible dimension, de sorte que chaque point est toujours décrit avec la même combinaison linéaire de ses voisins. LLE a tendance à mal gérer les densités d'échantillons no</w:t>
      </w:r>
      <w:r>
        <w:rPr>
          <w:lang w:val="fr-FR"/>
        </w:rPr>
        <w:t xml:space="preserve">n uniformes car il n'y a pas d'unité fixe pour empêcher les poids de dériver, car les différentes régions diffèrent en termes de densité d'échantillon. </w:t>
      </w:r>
      <w:r>
        <w:t>LLE n'a pas de modèle interne.</w:t>
      </w:r>
    </w:p>
    <w:p w:rsidR="00E272F5" w:rsidRDefault="009A1DF2">
      <w:pPr>
        <w:pStyle w:val="Standard"/>
        <w:numPr>
          <w:ilvl w:val="0"/>
          <w:numId w:val="1"/>
        </w:numPr>
      </w:pPr>
      <w:r>
        <w:rPr>
          <w:color w:val="222222"/>
          <w:lang w:val="fr-FR"/>
        </w:rPr>
        <w:t>SOM</w:t>
      </w:r>
    </w:p>
    <w:p w:rsidR="00E272F5" w:rsidRDefault="009A1DF2">
      <w:pPr>
        <w:pStyle w:val="Standard"/>
        <w:rPr>
          <w:lang w:val="fr-FR"/>
        </w:rPr>
      </w:pPr>
      <w:r>
        <w:rPr>
          <w:lang w:val="fr-FR"/>
        </w:rPr>
        <w:t>Les cartes auto adaptatives, cartes auto-organisatrices ou cartes top</w:t>
      </w:r>
      <w:r>
        <w:rPr>
          <w:lang w:val="fr-FR"/>
        </w:rPr>
        <w:t>ologiques forment une classe de réseau de neurones artificiels fondée sur des méthodes d'apprentissage non-supervisées. Elles sont souvent désignées par le terme anglais self organizing maps (SOM), ou encore cartes de Kohonen du nom du statisticien ayant d</w:t>
      </w:r>
      <w:r>
        <w:rPr>
          <w:lang w:val="fr-FR"/>
        </w:rPr>
        <w:t>éveloppé le concept en 1984. La littérature utilise aussi les dénominations : « réseau de Kohonen », « réseau auto-adaptatif » ou « réseau auto-organisé ».Elles sont utilisées pour cartographier un espace réel, c'est-à-dire pour étudier la répartition de d</w:t>
      </w:r>
      <w:r>
        <w:rPr>
          <w:lang w:val="fr-FR"/>
        </w:rPr>
        <w:t>onnées dans un espace à grande dimension. En pratique, cette cartographie peut servir à réaliser des tâches de discrétisation, quantification vectorielle ou classification.</w:t>
      </w:r>
    </w:p>
    <w:p w:rsidR="00E272F5" w:rsidRDefault="00E272F5">
      <w:pPr>
        <w:pStyle w:val="Standard"/>
        <w:rPr>
          <w:lang w:val="fr-FR"/>
        </w:rPr>
      </w:pPr>
    </w:p>
    <w:p w:rsidR="00E272F5" w:rsidRDefault="009A1DF2">
      <w:pPr>
        <w:pStyle w:val="Standard"/>
        <w:rPr>
          <w:lang w:val="fr-FR"/>
        </w:rPr>
      </w:pPr>
      <w:r>
        <w:rPr>
          <w:lang w:val="fr-FR"/>
        </w:rPr>
        <w:t>II. Pre-traitement des donnees</w:t>
      </w:r>
    </w:p>
    <w:p w:rsidR="00E272F5" w:rsidRDefault="009A1DF2">
      <w:pPr>
        <w:pStyle w:val="Standard"/>
        <w:rPr>
          <w:lang w:val="fr-FR"/>
        </w:rPr>
      </w:pPr>
      <w:r>
        <w:rPr>
          <w:lang w:val="fr-FR"/>
        </w:rPr>
        <w:t>1. gordon</w:t>
      </w:r>
    </w:p>
    <w:p w:rsidR="00E272F5" w:rsidRDefault="009A1DF2">
      <w:pPr>
        <w:pStyle w:val="Standard"/>
        <w:rPr>
          <w:lang w:val="fr-FR"/>
        </w:rPr>
      </w:pPr>
      <w:r>
        <w:rPr>
          <w:lang w:val="fr-FR"/>
        </w:rPr>
        <w:t>La distinction pathologique entre le méso</w:t>
      </w:r>
      <w:r>
        <w:rPr>
          <w:lang w:val="fr-FR"/>
        </w:rPr>
        <w:t>théliome pleural malin (MPM) et l'adénocarcinome (AD) du poumon peut être lourde en utilisant des méthodes établies. Les auteurs proposent qu'une technique simple, basée sur les niveaux d'expression d'un petit nombre de gènes, peut être utile dans le diagn</w:t>
      </w:r>
      <w:r>
        <w:rPr>
          <w:lang w:val="fr-FR"/>
        </w:rPr>
        <w:t>ostic précoce et précis du MPM et du cancer du poumon. Cette méthode est conçue pour distinguer avec précision les tissus génétiquement disparates en utilisant des rapports d'expression génique et des seuils choisis rationnellement.</w:t>
      </w:r>
    </w:p>
    <w:p w:rsidR="00E272F5" w:rsidRDefault="009A1DF2">
      <w:pPr>
        <w:pStyle w:val="Standard"/>
        <w:rPr>
          <w:color w:val="000000"/>
          <w:lang w:val="fr-FR"/>
        </w:rPr>
      </w:pPr>
      <w:r>
        <w:rPr>
          <w:color w:val="000000"/>
          <w:lang w:val="fr-FR"/>
        </w:rPr>
        <w:t>Dans ce tableau, les in</w:t>
      </w:r>
      <w:r>
        <w:rPr>
          <w:color w:val="000000"/>
          <w:lang w:val="fr-FR"/>
        </w:rPr>
        <w:t>dividus sont classees en deux group. Le premier groupe a un effectif de 31 individus (MPM) et le deuxieme a 150 individus (AD). C’est un jeu de donnees decrit par 1626 variables quantitatives. La premier etape consiste a centrer et reduire toutes les varia</w:t>
      </w:r>
      <w:r>
        <w:rPr>
          <w:color w:val="000000"/>
          <w:lang w:val="fr-FR"/>
        </w:rPr>
        <w:t>bles car ces derniers ont des variabilites differentes.</w:t>
      </w:r>
    </w:p>
    <w:p w:rsidR="00E272F5" w:rsidRDefault="00E272F5">
      <w:pPr>
        <w:pStyle w:val="Standard"/>
        <w:rPr>
          <w:color w:val="000000"/>
          <w:lang w:val="fr-FR"/>
        </w:rPr>
      </w:pPr>
    </w:p>
    <w:p w:rsidR="00E272F5" w:rsidRDefault="009A1DF2">
      <w:pPr>
        <w:pStyle w:val="Standard"/>
        <w:rPr>
          <w:lang w:val="fr-FR"/>
        </w:rPr>
      </w:pPr>
      <w:r>
        <w:rPr>
          <w:lang w:val="fr-FR"/>
        </w:rPr>
        <w:t>2. pomeroy</w:t>
      </w:r>
    </w:p>
    <w:p w:rsidR="00E272F5" w:rsidRDefault="009A1DF2">
      <w:pPr>
        <w:pStyle w:val="Standard"/>
        <w:rPr>
          <w:lang w:val="fr-FR"/>
        </w:rPr>
      </w:pPr>
      <w:r>
        <w:rPr>
          <w:lang w:val="fr-FR"/>
        </w:rPr>
        <w:t>Les tumeurs embryonnaires du système nerveux central (SNC) représentent un groupe hétérogène de tumeurs dont on sait peu de choses sur le plan biologique et dont le diagnostic, sur la seul</w:t>
      </w:r>
      <w:r>
        <w:rPr>
          <w:lang w:val="fr-FR"/>
        </w:rPr>
        <w:t>e base de l'aspect morphologique, est controversé. Les médulloblastomes (MD), par exemple, sont la tumeur cérébrale maligne la plus courante de l'enfance, mais leur pathogénie est inconnue, leur relation avec d'autres tumeurs embryonnaires du SNC est discu</w:t>
      </w:r>
      <w:r>
        <w:rPr>
          <w:lang w:val="fr-FR"/>
        </w:rPr>
        <w:t>tée et la réponse des patients au traitement est difficile à prévoir. Les auteurs ont abordé ces problèmes en mettant au point un système de classification basé sur les données d'expression génétique des microréseaux d'ADN dérivées de 99 échantillons de pa</w:t>
      </w:r>
      <w:r>
        <w:rPr>
          <w:lang w:val="fr-FR"/>
        </w:rPr>
        <w:t>tients. Ils démontrent que les médulloblastomes sont moléculairement distincts des autres tumeurs cérébrales, y compris les tumeurs neuroectodermiques primitives (PNET), les tumeurs atypiques tératoïdes / rhabdoïdes (Rhab) et les gliomes malins (Mglio). Au</w:t>
      </w:r>
      <w:r>
        <w:rPr>
          <w:lang w:val="fr-FR"/>
        </w:rPr>
        <w:t xml:space="preserve"> sein de la classe des médulloblastomes (MD), ils ont également étudié l'hétérogénéité </w:t>
      </w:r>
      <w:r>
        <w:rPr>
          <w:lang w:val="fr-FR"/>
        </w:rPr>
        <w:lastRenderedPageBreak/>
        <w:t>des classiques (C) desmoplasiques (D). Dans l'analyse, les tissus normaux ont également été considérés (Ncer).</w:t>
      </w:r>
    </w:p>
    <w:p w:rsidR="00E272F5" w:rsidRPr="00D33267" w:rsidRDefault="009A1DF2">
      <w:pPr>
        <w:pStyle w:val="Standard"/>
        <w:rPr>
          <w:lang w:val="fr-FR"/>
        </w:rPr>
      </w:pPr>
      <w:r>
        <w:rPr>
          <w:color w:val="000000"/>
          <w:lang w:val="fr-FR"/>
        </w:rPr>
        <w:t>Dans ce tableau, les individus sont classees en deux group</w:t>
      </w:r>
      <w:r>
        <w:rPr>
          <w:color w:val="000000"/>
          <w:lang w:val="fr-FR"/>
        </w:rPr>
        <w:t xml:space="preserve">. Le premier groupe a un effectif de </w:t>
      </w:r>
      <w:r>
        <w:rPr>
          <w:rFonts w:ascii="Times New Roman" w:hAnsi="Times New Roman"/>
          <w:color w:val="000000"/>
          <w:lang w:val="fr-FR"/>
        </w:rPr>
        <w:t>10 MD, 10 Mglio, 10 Rhab, 4 Ncer 8 PNET</w:t>
      </w:r>
      <w:r>
        <w:rPr>
          <w:color w:val="000000"/>
          <w:lang w:val="fr-FR"/>
        </w:rPr>
        <w:t>. C’est un jeu de donnees decrit par 1379 variables quantitatives. La premier etape consiste a centrer et reduire toutes les variables car ces derniers ont des variabilites differe</w:t>
      </w:r>
      <w:r>
        <w:rPr>
          <w:color w:val="000000"/>
          <w:lang w:val="fr-FR"/>
        </w:rPr>
        <w:t>ntes.</w:t>
      </w:r>
    </w:p>
    <w:p w:rsidR="00E272F5" w:rsidRDefault="00E272F5">
      <w:pPr>
        <w:pStyle w:val="Standard"/>
        <w:rPr>
          <w:lang w:val="fr-FR"/>
        </w:rPr>
      </w:pPr>
    </w:p>
    <w:p w:rsidR="00E272F5" w:rsidRDefault="009A1DF2">
      <w:pPr>
        <w:pStyle w:val="Standard"/>
        <w:rPr>
          <w:lang w:val="fr-FR"/>
        </w:rPr>
      </w:pPr>
      <w:r>
        <w:rPr>
          <w:lang w:val="fr-FR"/>
        </w:rPr>
        <w:t>III. Visualisation des donnees: gordon et pomeroy</w:t>
      </w:r>
    </w:p>
    <w:p w:rsidR="00E272F5" w:rsidRDefault="009A1DF2">
      <w:pPr>
        <w:pStyle w:val="Standard"/>
        <w:numPr>
          <w:ilvl w:val="0"/>
          <w:numId w:val="2"/>
        </w:numPr>
        <w:rPr>
          <w:lang w:val="fr-FR"/>
        </w:rPr>
      </w:pPr>
      <w:r>
        <w:rPr>
          <w:lang w:val="fr-FR"/>
        </w:rPr>
        <w:t>Gordon</w:t>
      </w:r>
    </w:p>
    <w:p w:rsidR="00E272F5" w:rsidRDefault="009A1DF2">
      <w:pPr>
        <w:pStyle w:val="Standard"/>
        <w:numPr>
          <w:ilvl w:val="0"/>
          <w:numId w:val="3"/>
        </w:numPr>
        <w:rPr>
          <w:lang w:val="fr-FR"/>
        </w:rPr>
      </w:pPr>
      <w:r>
        <w:rPr>
          <w:lang w:val="fr-FR"/>
        </w:rPr>
        <w:t>ACP</w:t>
      </w:r>
    </w:p>
    <w:p w:rsidR="00E272F5" w:rsidRDefault="009A1DF2">
      <w:pPr>
        <w:pStyle w:val="Standard"/>
        <w:ind w:left="1080"/>
      </w:pPr>
      <w:r>
        <w:rPr>
          <w:noProof/>
          <w:lang w:eastAsia="en-US" w:bidi="ar-SA"/>
        </w:rPr>
        <w:drawing>
          <wp:inline distT="0" distB="0" distL="0" distR="0">
            <wp:extent cx="4910547" cy="3685361"/>
            <wp:effectExtent l="0" t="0" r="4353" b="0"/>
            <wp:docPr id="2" name="Picture 7" descr="C:\workspace\master2\master2\exploration_visuelle_des_donnees\Projet_Visualisation\gordon\1. AC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910547" cy="3685361"/>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 : Representation des individus sur 2 premiers axes factorielles de l’ACP</w:t>
      </w:r>
    </w:p>
    <w:p w:rsidR="00E272F5" w:rsidRDefault="009A1DF2">
      <w:pPr>
        <w:pStyle w:val="Standard"/>
        <w:rPr>
          <w:lang w:val="fr-FR"/>
        </w:rPr>
      </w:pPr>
      <w:r>
        <w:rPr>
          <w:lang w:val="fr-FR"/>
        </w:rPr>
        <w:t>Avec l’ACP, les donnees sont centrees autour de l’origine des deux axes factorielles. Le premier axe qui</w:t>
      </w:r>
      <w:r>
        <w:rPr>
          <w:lang w:val="fr-FR"/>
        </w:rPr>
        <w:t xml:space="preserve"> discrime au mieux ce jeu de donnees. Avec ces deux axes factorielles on recupere environ 12% de l’inertie totale.</w:t>
      </w:r>
    </w:p>
    <w:p w:rsidR="00E272F5" w:rsidRDefault="009A1DF2">
      <w:pPr>
        <w:pStyle w:val="Standard"/>
        <w:ind w:left="1080"/>
      </w:pPr>
      <w:r>
        <w:rPr>
          <w:noProof/>
          <w:lang w:eastAsia="en-US" w:bidi="ar-SA"/>
        </w:rPr>
        <w:lastRenderedPageBreak/>
        <w:drawing>
          <wp:inline distT="0" distB="0" distL="0" distR="0">
            <wp:extent cx="4950342" cy="3715225"/>
            <wp:effectExtent l="0" t="0" r="2658" b="0"/>
            <wp:docPr id="3" name="Picture 8" descr="C:\workspace\master2\master2\exploration_visuelle_des_donnees\Projet_Visualisation\gordon\1. AC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950342" cy="3715225"/>
                    </a:xfrm>
                    <a:prstGeom prst="rect">
                      <a:avLst/>
                    </a:prstGeom>
                    <a:noFill/>
                    <a:ln>
                      <a:noFill/>
                      <a:prstDash/>
                    </a:ln>
                  </pic:spPr>
                </pic:pic>
              </a:graphicData>
            </a:graphic>
          </wp:inline>
        </w:drawing>
      </w:r>
    </w:p>
    <w:p w:rsidR="00E272F5" w:rsidRDefault="009A1DF2">
      <w:pPr>
        <w:pStyle w:val="Standard"/>
        <w:ind w:left="1080"/>
        <w:rPr>
          <w:lang w:val="fr-FR"/>
        </w:rPr>
      </w:pPr>
      <w:r>
        <w:rPr>
          <w:lang w:val="fr-FR"/>
        </w:rPr>
        <w:t xml:space="preserve">FIGURE 2 : Representation des individus avec des labels sur 2 premiers axes factorielles de l’ACP </w:t>
      </w:r>
    </w:p>
    <w:p w:rsidR="00E272F5" w:rsidRDefault="009A1DF2">
      <w:pPr>
        <w:pStyle w:val="Standard"/>
        <w:ind w:left="1080"/>
        <w:rPr>
          <w:lang w:val="fr-FR"/>
        </w:rPr>
      </w:pPr>
      <w:r>
        <w:rPr>
          <w:lang w:val="fr-FR"/>
        </w:rPr>
        <w:t>En utilisant des labels des individus, l</w:t>
      </w:r>
      <w:r>
        <w:rPr>
          <w:lang w:val="fr-FR"/>
        </w:rPr>
        <w:t>’ACP nous permet d’identifier l’existance de deux groupes separees par le premier axe. Etant donnee que l’ACP n’est pas une methode fait pour la classification, on ne s’attend pas a` ce que les classes soient bien separees. Neanmoins avec ce jeu de donnees</w:t>
      </w:r>
      <w:r>
        <w:rPr>
          <w:lang w:val="fr-FR"/>
        </w:rPr>
        <w:t>, les classes sont bien visibles.</w:t>
      </w:r>
    </w:p>
    <w:p w:rsidR="00E272F5" w:rsidRDefault="00E272F5">
      <w:pPr>
        <w:pStyle w:val="Standard"/>
        <w:ind w:left="1080"/>
        <w:rPr>
          <w:lang w:val="fr-FR"/>
        </w:rPr>
      </w:pPr>
    </w:p>
    <w:p w:rsidR="00E272F5" w:rsidRDefault="009A1DF2">
      <w:pPr>
        <w:pStyle w:val="Standard"/>
        <w:numPr>
          <w:ilvl w:val="0"/>
          <w:numId w:val="3"/>
        </w:numPr>
        <w:rPr>
          <w:lang w:val="fr-FR"/>
        </w:rPr>
      </w:pPr>
      <w:r>
        <w:rPr>
          <w:lang w:val="fr-FR"/>
        </w:rPr>
        <w:t>ADL</w:t>
      </w:r>
    </w:p>
    <w:p w:rsidR="00E272F5" w:rsidRDefault="009A1DF2">
      <w:pPr>
        <w:pStyle w:val="Standard"/>
        <w:ind w:left="1080"/>
      </w:pPr>
      <w:r>
        <w:rPr>
          <w:noProof/>
          <w:lang w:eastAsia="en-US" w:bidi="ar-SA"/>
        </w:rPr>
        <w:drawing>
          <wp:inline distT="0" distB="0" distL="0" distR="0">
            <wp:extent cx="4908901" cy="3684126"/>
            <wp:effectExtent l="0" t="0" r="5999" b="0"/>
            <wp:docPr id="4" name="Picture 9" descr="C:\workspace\master2\master2\exploration_visuelle_des_donnees\Projet_Visualisation\gordon\2. AD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908901" cy="3684126"/>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3 : Representation des individus sur l’axe factorielle de l’ADL</w:t>
      </w:r>
    </w:p>
    <w:p w:rsidR="00E272F5" w:rsidRDefault="009A1DF2">
      <w:pPr>
        <w:pStyle w:val="Standard"/>
        <w:ind w:left="1080"/>
        <w:rPr>
          <w:lang w:val="fr-FR"/>
        </w:rPr>
      </w:pPr>
      <w:r>
        <w:rPr>
          <w:lang w:val="fr-FR"/>
        </w:rPr>
        <w:lastRenderedPageBreak/>
        <w:t>Avec l’ADL, le choix du nombre d’axes discriminants depend du nombre de classes. Dans ce jeu de donnees, des individus sont mis dans deux classe</w:t>
      </w:r>
      <w:r>
        <w:rPr>
          <w:lang w:val="fr-FR"/>
        </w:rPr>
        <w:t>s, donc un seul axe discriminant suffit pour faire la classification. Lorsqu’on regarde l’axe vertical, les deux groupes d’individus sont bien separees.</w:t>
      </w:r>
    </w:p>
    <w:p w:rsidR="00E272F5" w:rsidRDefault="009A1DF2">
      <w:pPr>
        <w:pStyle w:val="Standard"/>
        <w:numPr>
          <w:ilvl w:val="0"/>
          <w:numId w:val="3"/>
        </w:numPr>
        <w:rPr>
          <w:lang w:val="fr-FR"/>
        </w:rPr>
      </w:pPr>
      <w:r>
        <w:rPr>
          <w:lang w:val="fr-FR"/>
        </w:rPr>
        <w:t>MDS</w:t>
      </w:r>
    </w:p>
    <w:p w:rsidR="00E272F5" w:rsidRDefault="009A1DF2">
      <w:pPr>
        <w:pStyle w:val="Standard"/>
        <w:ind w:left="1080"/>
      </w:pPr>
      <w:r>
        <w:rPr>
          <w:noProof/>
          <w:lang w:eastAsia="en-US" w:bidi="ar-SA"/>
        </w:rPr>
        <w:drawing>
          <wp:inline distT="0" distB="0" distL="0" distR="0">
            <wp:extent cx="4933188" cy="3702359"/>
            <wp:effectExtent l="0" t="0" r="762" b="0"/>
            <wp:docPr id="5" name="Picture 10" descr="C:\workspace\master2\master2\exploration_visuelle_des_donnees\Projet_Visualisation\gordon\3. MD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33188" cy="3702359"/>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4 : Representation des individus sur deux axes factorielle du MDS</w:t>
      </w:r>
    </w:p>
    <w:p w:rsidR="00E272F5" w:rsidRDefault="009A1DF2">
      <w:pPr>
        <w:pStyle w:val="Standard"/>
        <w:ind w:left="1080"/>
        <w:rPr>
          <w:lang w:val="fr-FR"/>
        </w:rPr>
      </w:pPr>
      <w:r>
        <w:rPr>
          <w:lang w:val="fr-FR"/>
        </w:rPr>
        <w:t>C’est une methode de non</w:t>
      </w:r>
      <w:r>
        <w:rPr>
          <w:lang w:val="fr-FR"/>
        </w:rPr>
        <w:t xml:space="preserve"> supervisee, aucune connaissance prealable des classes. Visuellement, la MDS offre une representation en deux groupes de densite differente. Il est impossible de savoir a` ce niveau si les individus ont été bien classees. </w:t>
      </w:r>
    </w:p>
    <w:p w:rsidR="00E272F5" w:rsidRDefault="009A1DF2">
      <w:pPr>
        <w:pStyle w:val="Standard"/>
        <w:ind w:left="1080"/>
      </w:pPr>
      <w:r>
        <w:rPr>
          <w:noProof/>
          <w:lang w:eastAsia="en-US" w:bidi="ar-SA"/>
        </w:rPr>
        <w:drawing>
          <wp:inline distT="0" distB="0" distL="0" distR="0">
            <wp:extent cx="4988527" cy="3743891"/>
            <wp:effectExtent l="0" t="0" r="2573" b="8959"/>
            <wp:docPr id="6" name="Picture 11" descr="C:\workspace\master2\master2\exploration_visuelle_des_donnees\Projet_Visualisation\gordon\3. MDS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988527" cy="3743891"/>
                    </a:xfrm>
                    <a:prstGeom prst="rect">
                      <a:avLst/>
                    </a:prstGeom>
                    <a:noFill/>
                    <a:ln>
                      <a:noFill/>
                      <a:prstDash/>
                    </a:ln>
                  </pic:spPr>
                </pic:pic>
              </a:graphicData>
            </a:graphic>
          </wp:inline>
        </w:drawing>
      </w:r>
    </w:p>
    <w:p w:rsidR="00E272F5" w:rsidRDefault="009A1DF2">
      <w:pPr>
        <w:pStyle w:val="Standard"/>
        <w:ind w:left="1080"/>
        <w:rPr>
          <w:lang w:val="fr-FR"/>
        </w:rPr>
      </w:pPr>
      <w:r>
        <w:rPr>
          <w:lang w:val="fr-FR"/>
        </w:rPr>
        <w:lastRenderedPageBreak/>
        <w:t>FIGURE 5 : Representation des i</w:t>
      </w:r>
      <w:r>
        <w:rPr>
          <w:lang w:val="fr-FR"/>
        </w:rPr>
        <w:t>ndividus avec des labels sur deux axes factorielle du MDS</w:t>
      </w:r>
    </w:p>
    <w:p w:rsidR="00E272F5" w:rsidRDefault="009A1DF2">
      <w:pPr>
        <w:pStyle w:val="Standard"/>
        <w:ind w:left="1080"/>
        <w:rPr>
          <w:lang w:val="fr-FR"/>
        </w:rPr>
      </w:pPr>
      <w:r>
        <w:rPr>
          <w:lang w:val="fr-FR"/>
        </w:rPr>
        <w:t>Avec des labels, on observe bien une bonne classification sur le jeu de donnees gordon. Les classes sont parfaitement separees suivant l’axe horizontal.</w:t>
      </w:r>
    </w:p>
    <w:p w:rsidR="00E272F5" w:rsidRDefault="009A1DF2">
      <w:pPr>
        <w:pStyle w:val="Standard"/>
        <w:numPr>
          <w:ilvl w:val="0"/>
          <w:numId w:val="3"/>
        </w:numPr>
        <w:rPr>
          <w:lang w:val="fr-FR"/>
        </w:rPr>
      </w:pPr>
      <w:r>
        <w:rPr>
          <w:lang w:val="fr-FR"/>
        </w:rPr>
        <w:t>Isomap</w:t>
      </w:r>
    </w:p>
    <w:p w:rsidR="00E272F5" w:rsidRDefault="009A1DF2">
      <w:pPr>
        <w:pStyle w:val="Standard"/>
        <w:ind w:left="1080"/>
      </w:pPr>
      <w:r>
        <w:rPr>
          <w:noProof/>
          <w:lang w:eastAsia="en-US" w:bidi="ar-SA"/>
        </w:rPr>
        <w:drawing>
          <wp:inline distT="0" distB="0" distL="0" distR="0">
            <wp:extent cx="5475061" cy="4109039"/>
            <wp:effectExtent l="0" t="0" r="0" b="5761"/>
            <wp:docPr id="7" name="Picture 12" descr="C:\workspace\master2\master2\exploration_visuelle_des_donnees\Projet_Visualisation\gordon\4. Isoma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475061" cy="4109039"/>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6 : Representation des indivi</w:t>
      </w:r>
      <w:r>
        <w:rPr>
          <w:lang w:val="fr-FR"/>
        </w:rPr>
        <w:t xml:space="preserve">dus en fonction de K plus proches voisins sur deux axes factorielle du MDS avec l’algorithme Isomap </w:t>
      </w:r>
    </w:p>
    <w:p w:rsidR="00E272F5" w:rsidRDefault="009A1DF2">
      <w:pPr>
        <w:pStyle w:val="Standard"/>
        <w:ind w:left="1080"/>
        <w:rPr>
          <w:lang w:val="fr-FR"/>
        </w:rPr>
      </w:pPr>
      <w:r>
        <w:rPr>
          <w:lang w:val="fr-FR"/>
        </w:rPr>
        <w:t xml:space="preserve">En fonction des K, on observe une representation differente des individus. Par exemple, avec K = 2, ce sera difficile de faire la classification. </w:t>
      </w:r>
    </w:p>
    <w:p w:rsidR="00E272F5" w:rsidRDefault="009A1DF2">
      <w:pPr>
        <w:pStyle w:val="Standard"/>
        <w:ind w:left="1080"/>
        <w:rPr>
          <w:lang w:val="fr-FR"/>
        </w:rPr>
      </w:pPr>
      <w:r>
        <w:rPr>
          <w:lang w:val="fr-FR"/>
        </w:rPr>
        <w:t>La meill</w:t>
      </w:r>
      <w:r>
        <w:rPr>
          <w:lang w:val="fr-FR"/>
        </w:rPr>
        <w:t>eure classification est obtenue lorsqu’on choisit les 5 plus proches voisins. Plus on augmente le K, plus les classes sont heterogenes.</w:t>
      </w:r>
    </w:p>
    <w:p w:rsidR="00E272F5" w:rsidRDefault="009A1DF2">
      <w:pPr>
        <w:pStyle w:val="Standard"/>
        <w:ind w:left="1080"/>
      </w:pPr>
      <w:r>
        <w:rPr>
          <w:noProof/>
          <w:lang w:eastAsia="en-US" w:bidi="ar-SA"/>
        </w:rPr>
        <w:lastRenderedPageBreak/>
        <w:drawing>
          <wp:inline distT="0" distB="0" distL="0" distR="0">
            <wp:extent cx="5485211" cy="4116656"/>
            <wp:effectExtent l="0" t="0" r="1189" b="0"/>
            <wp:docPr id="8" name="Picture 13" descr="C:\workspace\master2\master2\exploration_visuelle_des_donnees\Projet_Visualisation\gordon\4. Isoma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485211" cy="4116656"/>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7 : Representation des individus labelises en fonction de K plus proches voisins sur deux axes factorielle du M</w:t>
      </w:r>
      <w:r>
        <w:rPr>
          <w:lang w:val="fr-FR"/>
        </w:rPr>
        <w:t>DS avec l’algorithme Isomap</w:t>
      </w:r>
    </w:p>
    <w:p w:rsidR="00E272F5" w:rsidRDefault="009A1DF2">
      <w:pPr>
        <w:pStyle w:val="Standard"/>
        <w:ind w:left="1080"/>
        <w:rPr>
          <w:lang w:val="fr-FR"/>
        </w:rPr>
      </w:pPr>
      <w:r>
        <w:rPr>
          <w:lang w:val="fr-FR"/>
        </w:rPr>
        <w:t>Avec K = 5, tous les individus sont mis dans les bonnes classes excepte’ d’un individu mal classe’ .</w:t>
      </w:r>
    </w:p>
    <w:p w:rsidR="00E272F5" w:rsidRDefault="009A1DF2">
      <w:pPr>
        <w:pStyle w:val="Standard"/>
        <w:numPr>
          <w:ilvl w:val="0"/>
          <w:numId w:val="3"/>
        </w:numPr>
        <w:rPr>
          <w:lang w:val="fr-FR"/>
        </w:rPr>
      </w:pPr>
      <w:r>
        <w:rPr>
          <w:lang w:val="fr-FR"/>
        </w:rPr>
        <w:t>LLE</w:t>
      </w:r>
    </w:p>
    <w:p w:rsidR="00E272F5" w:rsidRDefault="009A1DF2">
      <w:pPr>
        <w:pStyle w:val="Standard"/>
        <w:ind w:left="1080"/>
      </w:pPr>
      <w:r>
        <w:rPr>
          <w:noProof/>
          <w:lang w:eastAsia="en-US" w:bidi="ar-SA"/>
        </w:rPr>
        <w:drawing>
          <wp:inline distT="0" distB="0" distL="0" distR="0">
            <wp:extent cx="5367710" cy="4028462"/>
            <wp:effectExtent l="0" t="0" r="4390" b="0"/>
            <wp:docPr id="9" name="Picture 14" descr="C:\workspace\master2\master2\exploration_visuelle_des_donnees\Projet_Visualisation\gordon\5. LL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367710" cy="4028462"/>
                    </a:xfrm>
                    <a:prstGeom prst="rect">
                      <a:avLst/>
                    </a:prstGeom>
                    <a:noFill/>
                    <a:ln>
                      <a:noFill/>
                      <a:prstDash/>
                    </a:ln>
                  </pic:spPr>
                </pic:pic>
              </a:graphicData>
            </a:graphic>
          </wp:inline>
        </w:drawing>
      </w:r>
    </w:p>
    <w:p w:rsidR="00E272F5" w:rsidRDefault="009A1DF2">
      <w:pPr>
        <w:pStyle w:val="Standard"/>
        <w:ind w:left="1080"/>
        <w:rPr>
          <w:lang w:val="fr-FR"/>
        </w:rPr>
      </w:pPr>
      <w:r>
        <w:rPr>
          <w:lang w:val="fr-FR"/>
        </w:rPr>
        <w:lastRenderedPageBreak/>
        <w:t xml:space="preserve">FIGURE 8 : Representation des individus en fonction de K plus proches voisins sur deux axes factorielle du MDS avec </w:t>
      </w:r>
      <w:r>
        <w:rPr>
          <w:lang w:val="fr-FR"/>
        </w:rPr>
        <w:t>l’algorithme LLE</w:t>
      </w:r>
    </w:p>
    <w:p w:rsidR="00E272F5" w:rsidRDefault="009A1DF2">
      <w:pPr>
        <w:pStyle w:val="Standard"/>
        <w:ind w:left="1080"/>
        <w:rPr>
          <w:lang w:val="fr-FR"/>
        </w:rPr>
      </w:pPr>
      <w:r>
        <w:rPr>
          <w:lang w:val="fr-FR"/>
        </w:rPr>
        <w:t xml:space="preserve">La forme des classe obtenue est differente. En fonction des K, on observe une representation differente des individus. Par exemple, avec K = 100, ce sera difficile de faire la classification. </w:t>
      </w:r>
    </w:p>
    <w:p w:rsidR="00E272F5" w:rsidRDefault="009A1DF2">
      <w:pPr>
        <w:pStyle w:val="Standard"/>
        <w:ind w:left="1080"/>
        <w:rPr>
          <w:lang w:val="fr-FR"/>
        </w:rPr>
      </w:pPr>
      <w:r>
        <w:rPr>
          <w:lang w:val="fr-FR"/>
        </w:rPr>
        <w:t>La meilleure classification est obtenue lorsqu</w:t>
      </w:r>
      <w:r>
        <w:rPr>
          <w:lang w:val="fr-FR"/>
        </w:rPr>
        <w:t>’on choisit les 5 ou 10 plus proches voisins. Plus on augmente le K, plus les classes sont heterogenes.</w:t>
      </w:r>
    </w:p>
    <w:p w:rsidR="00E272F5" w:rsidRDefault="00E272F5">
      <w:pPr>
        <w:pStyle w:val="Standard"/>
        <w:ind w:left="1080"/>
        <w:rPr>
          <w:lang w:val="fr-FR"/>
        </w:rPr>
      </w:pPr>
    </w:p>
    <w:p w:rsidR="00E272F5" w:rsidRDefault="00E272F5">
      <w:pPr>
        <w:pStyle w:val="Standard"/>
        <w:ind w:left="1080"/>
        <w:rPr>
          <w:lang w:val="fr-FR"/>
        </w:rPr>
      </w:pPr>
    </w:p>
    <w:p w:rsidR="00E272F5" w:rsidRDefault="009A1DF2">
      <w:pPr>
        <w:pStyle w:val="Standard"/>
        <w:ind w:left="1080"/>
      </w:pPr>
      <w:r>
        <w:rPr>
          <w:noProof/>
          <w:lang w:eastAsia="en-US" w:bidi="ar-SA"/>
        </w:rPr>
        <w:drawing>
          <wp:inline distT="0" distB="0" distL="0" distR="0">
            <wp:extent cx="5503480" cy="4130363"/>
            <wp:effectExtent l="0" t="0" r="1970" b="3487"/>
            <wp:docPr id="10" name="Picture 15" descr="C:\workspace\master2\master2\exploration_visuelle_des_donnees\Projet_Visualisation\gordon\5. LL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503480" cy="4130363"/>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9 : Representation des individus labelises en fonction de K plus proches voisins sur deux axes factorielle du MDS avec l’algorithme LLE</w:t>
      </w:r>
    </w:p>
    <w:p w:rsidR="00E272F5" w:rsidRDefault="009A1DF2">
      <w:pPr>
        <w:pStyle w:val="Standard"/>
        <w:ind w:left="1080"/>
        <w:rPr>
          <w:lang w:val="fr-FR"/>
        </w:rPr>
      </w:pPr>
      <w:r>
        <w:rPr>
          <w:lang w:val="fr-FR"/>
        </w:rPr>
        <w:t xml:space="preserve">Avec </w:t>
      </w:r>
      <w:r>
        <w:rPr>
          <w:lang w:val="fr-FR"/>
        </w:rPr>
        <w:t>K = 5 et K = 10, tous les individus sont mis dans les bonnes classes excepte’ d’un individu mal classe’ .</w:t>
      </w:r>
    </w:p>
    <w:p w:rsidR="00E272F5" w:rsidRDefault="00E272F5">
      <w:pPr>
        <w:pStyle w:val="Standard"/>
        <w:ind w:left="1080"/>
        <w:rPr>
          <w:lang w:val="fr-FR"/>
        </w:rPr>
      </w:pPr>
    </w:p>
    <w:p w:rsidR="00E272F5" w:rsidRDefault="009A1DF2">
      <w:pPr>
        <w:pStyle w:val="Standard"/>
        <w:numPr>
          <w:ilvl w:val="0"/>
          <w:numId w:val="3"/>
        </w:numPr>
        <w:rPr>
          <w:lang w:val="fr-FR"/>
        </w:rPr>
      </w:pPr>
      <w:r>
        <w:rPr>
          <w:lang w:val="fr-FR"/>
        </w:rPr>
        <w:t>SOM</w:t>
      </w:r>
    </w:p>
    <w:p w:rsidR="00E272F5" w:rsidRDefault="009A1DF2">
      <w:pPr>
        <w:pStyle w:val="Standard"/>
        <w:ind w:left="1080"/>
      </w:pPr>
      <w:r>
        <w:rPr>
          <w:noProof/>
          <w:lang w:eastAsia="en-US" w:bidi="ar-SA"/>
        </w:rPr>
        <w:lastRenderedPageBreak/>
        <w:drawing>
          <wp:inline distT="0" distB="0" distL="0" distR="0">
            <wp:extent cx="5481288" cy="4113702"/>
            <wp:effectExtent l="0" t="0" r="5112" b="1098"/>
            <wp:docPr id="11" name="Picture 16" descr="C:\workspace\master2\master2\exploration_visuelle_des_donnees\Projet_Visualisation\gordon\6. S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481288" cy="4113702"/>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10 : Mapping plot et U-matrice</w:t>
      </w:r>
    </w:p>
    <w:p w:rsidR="00E272F5" w:rsidRDefault="00E272F5">
      <w:pPr>
        <w:pStyle w:val="Standard"/>
        <w:ind w:left="1080"/>
        <w:rPr>
          <w:lang w:val="fr-FR"/>
        </w:rPr>
      </w:pPr>
    </w:p>
    <w:p w:rsidR="00E272F5" w:rsidRDefault="009A1DF2">
      <w:pPr>
        <w:pStyle w:val="Standard"/>
        <w:numPr>
          <w:ilvl w:val="0"/>
          <w:numId w:val="2"/>
        </w:numPr>
        <w:rPr>
          <w:lang w:val="fr-FR"/>
        </w:rPr>
      </w:pPr>
      <w:r>
        <w:rPr>
          <w:lang w:val="fr-FR"/>
        </w:rPr>
        <w:t>Pomeroy</w:t>
      </w:r>
    </w:p>
    <w:p w:rsidR="00E272F5" w:rsidRDefault="009A1DF2">
      <w:pPr>
        <w:pStyle w:val="Standard"/>
        <w:numPr>
          <w:ilvl w:val="0"/>
          <w:numId w:val="4"/>
        </w:numPr>
        <w:rPr>
          <w:lang w:val="fr-FR"/>
        </w:rPr>
      </w:pPr>
      <w:r>
        <w:rPr>
          <w:lang w:val="fr-FR"/>
        </w:rPr>
        <w:t>ACP</w:t>
      </w:r>
    </w:p>
    <w:p w:rsidR="00E272F5" w:rsidRDefault="009A1DF2">
      <w:pPr>
        <w:pStyle w:val="Standard"/>
        <w:ind w:left="1080"/>
      </w:pPr>
      <w:r>
        <w:rPr>
          <w:noProof/>
          <w:lang w:eastAsia="en-US" w:bidi="ar-SA"/>
        </w:rPr>
        <w:drawing>
          <wp:inline distT="0" distB="0" distL="0" distR="0">
            <wp:extent cx="5301307" cy="3978627"/>
            <wp:effectExtent l="0" t="0" r="0" b="2823"/>
            <wp:docPr id="12" name="Picture 17" descr="C:\workspace\master2\master2\exploration_visuelle_des_donnees\Projet_Visualisation\pomeroy\1. AC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5301307" cy="3978627"/>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11 : Representation des individus sur 2 premiers axes factorielles de l’ACP</w:t>
      </w:r>
    </w:p>
    <w:p w:rsidR="00E272F5" w:rsidRDefault="009A1DF2">
      <w:pPr>
        <w:pStyle w:val="Standard"/>
        <w:ind w:left="1080"/>
      </w:pPr>
      <w:r>
        <w:rPr>
          <w:noProof/>
          <w:lang w:eastAsia="en-US" w:bidi="ar-SA"/>
        </w:rPr>
        <w:lastRenderedPageBreak/>
        <w:drawing>
          <wp:inline distT="0" distB="0" distL="0" distR="0">
            <wp:extent cx="5337252" cy="4005611"/>
            <wp:effectExtent l="0" t="0" r="0" b="0"/>
            <wp:docPr id="13" name="Picture 18" descr="C:\workspace\master2\master2\exploration_visuelle_des_donnees\Projet_Visualisation\pomeroy\1. AC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5337252" cy="4005611"/>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w:t>
      </w:r>
      <w:r>
        <w:rPr>
          <w:lang w:val="fr-FR"/>
        </w:rPr>
        <w:t xml:space="preserve">E 12 : Representation des individus avec des labels sur 2 premiers axes factorielles de l’ACP </w:t>
      </w:r>
    </w:p>
    <w:p w:rsidR="00E272F5" w:rsidRDefault="009A1DF2">
      <w:pPr>
        <w:pStyle w:val="Standard"/>
        <w:numPr>
          <w:ilvl w:val="0"/>
          <w:numId w:val="4"/>
        </w:numPr>
        <w:rPr>
          <w:lang w:val="fr-FR"/>
        </w:rPr>
      </w:pPr>
      <w:r>
        <w:rPr>
          <w:lang w:val="fr-FR"/>
        </w:rPr>
        <w:t>ADL</w:t>
      </w:r>
    </w:p>
    <w:p w:rsidR="00E272F5" w:rsidRDefault="009A1DF2">
      <w:pPr>
        <w:pStyle w:val="Standard"/>
        <w:ind w:left="1080"/>
      </w:pPr>
      <w:r>
        <w:rPr>
          <w:noProof/>
          <w:lang w:eastAsia="en-US" w:bidi="ar-SA"/>
        </w:rPr>
        <w:drawing>
          <wp:inline distT="0" distB="0" distL="0" distR="0">
            <wp:extent cx="5287197" cy="3968047"/>
            <wp:effectExtent l="0" t="0" r="8703" b="0"/>
            <wp:docPr id="14" name="Picture 20" descr="C:\workspace\master2\master2\exploration_visuelle_des_donnees\Projet_Visualisation\pomeroy\2. ADL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5287197" cy="3968047"/>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13 : Representation 2D des individus sur deux axes factorielle de l’ADL</w:t>
      </w:r>
    </w:p>
    <w:p w:rsidR="00E272F5" w:rsidRDefault="009A1DF2">
      <w:pPr>
        <w:pStyle w:val="Standard"/>
        <w:ind w:left="1080"/>
      </w:pPr>
      <w:r>
        <w:rPr>
          <w:noProof/>
          <w:lang w:eastAsia="en-US" w:bidi="ar-SA"/>
        </w:rPr>
        <w:lastRenderedPageBreak/>
        <w:drawing>
          <wp:inline distT="0" distB="0" distL="0" distR="0">
            <wp:extent cx="5281208" cy="3963549"/>
            <wp:effectExtent l="0" t="0" r="0" b="0"/>
            <wp:docPr id="15" name="Picture 21" descr="C:\workspace\master2\master2\exploration_visuelle_des_donnees\Projet_Visualisation\pomeroy\2. ADL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5281208" cy="3963549"/>
                    </a:xfrm>
                    <a:prstGeom prst="rect">
                      <a:avLst/>
                    </a:prstGeom>
                    <a:noFill/>
                    <a:ln>
                      <a:noFill/>
                      <a:prstDash/>
                    </a:ln>
                  </pic:spPr>
                </pic:pic>
              </a:graphicData>
            </a:graphic>
          </wp:inline>
        </w:drawing>
      </w:r>
    </w:p>
    <w:p w:rsidR="00E272F5" w:rsidRDefault="009A1DF2">
      <w:pPr>
        <w:pStyle w:val="Standard"/>
        <w:ind w:left="1080"/>
        <w:rPr>
          <w:lang w:val="fr-FR"/>
        </w:rPr>
      </w:pPr>
      <w:r>
        <w:rPr>
          <w:lang w:val="fr-FR"/>
        </w:rPr>
        <w:t xml:space="preserve">FIGURE 14 : Representation 3D des individus sur trois axes factorielle de </w:t>
      </w:r>
      <w:r>
        <w:rPr>
          <w:lang w:val="fr-FR"/>
        </w:rPr>
        <w:t>l’ADL</w:t>
      </w:r>
    </w:p>
    <w:p w:rsidR="00E272F5" w:rsidRDefault="009A1DF2">
      <w:pPr>
        <w:pStyle w:val="Standard"/>
        <w:numPr>
          <w:ilvl w:val="0"/>
          <w:numId w:val="4"/>
        </w:numPr>
        <w:rPr>
          <w:lang w:val="fr-FR"/>
        </w:rPr>
      </w:pPr>
      <w:r>
        <w:rPr>
          <w:lang w:val="fr-FR"/>
        </w:rPr>
        <w:t>MDS</w:t>
      </w:r>
    </w:p>
    <w:p w:rsidR="00E272F5" w:rsidRDefault="009A1DF2">
      <w:pPr>
        <w:pStyle w:val="Standard"/>
        <w:ind w:left="1080"/>
      </w:pPr>
      <w:r>
        <w:rPr>
          <w:noProof/>
          <w:lang w:eastAsia="en-US" w:bidi="ar-SA"/>
        </w:rPr>
        <w:drawing>
          <wp:inline distT="0" distB="0" distL="0" distR="0">
            <wp:extent cx="5304882" cy="3981315"/>
            <wp:effectExtent l="0" t="0" r="0" b="135"/>
            <wp:docPr id="16" name="Picture 22" descr="C:\workspace\master2\master2\exploration_visuelle_des_donnees\Projet_Visualisation\pomeroy\3. MD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304882" cy="3981315"/>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15 : Representation des individus sur deux axes factorielle du MDS</w:t>
      </w:r>
    </w:p>
    <w:p w:rsidR="00E272F5" w:rsidRDefault="009A1DF2">
      <w:pPr>
        <w:pStyle w:val="Standard"/>
        <w:ind w:left="1080"/>
      </w:pPr>
      <w:r>
        <w:rPr>
          <w:noProof/>
          <w:lang w:eastAsia="en-US" w:bidi="ar-SA"/>
        </w:rPr>
        <w:lastRenderedPageBreak/>
        <w:drawing>
          <wp:inline distT="0" distB="0" distL="0" distR="0">
            <wp:extent cx="5251216" cy="3941036"/>
            <wp:effectExtent l="0" t="0" r="6584" b="2314"/>
            <wp:docPr id="17" name="Picture 23" descr="C:\workspace\master2\master2\exploration_visuelle_des_donnees\Projet_Visualisation\pomeroy\3. MDS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251216" cy="3941036"/>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16 : Representation des individus labelises sur deux axes factorielle du MDS</w:t>
      </w:r>
    </w:p>
    <w:p w:rsidR="00E272F5" w:rsidRDefault="009A1DF2">
      <w:pPr>
        <w:pStyle w:val="Standard"/>
        <w:numPr>
          <w:ilvl w:val="0"/>
          <w:numId w:val="4"/>
        </w:numPr>
        <w:rPr>
          <w:lang w:val="fr-FR"/>
        </w:rPr>
      </w:pPr>
      <w:r>
        <w:rPr>
          <w:lang w:val="fr-FR"/>
        </w:rPr>
        <w:t>Isomap</w:t>
      </w:r>
    </w:p>
    <w:p w:rsidR="00E272F5" w:rsidRDefault="009A1DF2">
      <w:pPr>
        <w:pStyle w:val="Standard"/>
        <w:ind w:left="1080"/>
      </w:pPr>
      <w:r>
        <w:rPr>
          <w:noProof/>
          <w:lang w:eastAsia="en-US" w:bidi="ar-SA"/>
        </w:rPr>
        <w:drawing>
          <wp:inline distT="0" distB="0" distL="0" distR="0">
            <wp:extent cx="5330869" cy="4000820"/>
            <wp:effectExtent l="0" t="0" r="3131" b="0"/>
            <wp:docPr id="18" name="Picture 24" descr="C:\workspace\master2\master2\exploration_visuelle_des_donnees\Projet_Visualisation\pomeroy\4. Isoma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5330869" cy="4000820"/>
                    </a:xfrm>
                    <a:prstGeom prst="rect">
                      <a:avLst/>
                    </a:prstGeom>
                    <a:noFill/>
                    <a:ln>
                      <a:noFill/>
                      <a:prstDash/>
                    </a:ln>
                  </pic:spPr>
                </pic:pic>
              </a:graphicData>
            </a:graphic>
          </wp:inline>
        </w:drawing>
      </w:r>
    </w:p>
    <w:p w:rsidR="00E272F5" w:rsidRDefault="009A1DF2">
      <w:pPr>
        <w:pStyle w:val="Standard"/>
        <w:ind w:left="1080"/>
        <w:rPr>
          <w:lang w:val="fr-FR"/>
        </w:rPr>
      </w:pPr>
      <w:r>
        <w:rPr>
          <w:lang w:val="fr-FR"/>
        </w:rPr>
        <w:t xml:space="preserve">FIGURE 17 : Representation des individus en fonction de K plus proches </w:t>
      </w:r>
      <w:r>
        <w:rPr>
          <w:lang w:val="fr-FR"/>
        </w:rPr>
        <w:t>voisins sur deux axes factorielle du MDS avec l’algorithme Isomap</w:t>
      </w:r>
    </w:p>
    <w:p w:rsidR="00E272F5" w:rsidRDefault="009A1DF2">
      <w:pPr>
        <w:pStyle w:val="Standard"/>
        <w:ind w:left="1080"/>
      </w:pPr>
      <w:r>
        <w:rPr>
          <w:noProof/>
          <w:lang w:eastAsia="en-US" w:bidi="ar-SA"/>
        </w:rPr>
        <w:lastRenderedPageBreak/>
        <w:drawing>
          <wp:inline distT="0" distB="0" distL="0" distR="0">
            <wp:extent cx="5355329" cy="4019172"/>
            <wp:effectExtent l="0" t="0" r="0" b="378"/>
            <wp:docPr id="19" name="Picture 25" descr="C:\workspace\master2\master2\exploration_visuelle_des_donnees\Projet_Visualisation\pomeroy\4. Isoma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5355329" cy="4019172"/>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18 : Representation des individus labelises en fonction de K plus proches voisins sur deux axes factorielle du MDS avec l’algorithme Isomap</w:t>
      </w:r>
    </w:p>
    <w:p w:rsidR="00E272F5" w:rsidRDefault="009A1DF2">
      <w:pPr>
        <w:pStyle w:val="Standard"/>
        <w:numPr>
          <w:ilvl w:val="0"/>
          <w:numId w:val="4"/>
        </w:numPr>
        <w:rPr>
          <w:lang w:val="fr-FR"/>
        </w:rPr>
      </w:pPr>
      <w:r>
        <w:rPr>
          <w:lang w:val="fr-FR"/>
        </w:rPr>
        <w:t>LLE</w:t>
      </w:r>
    </w:p>
    <w:p w:rsidR="00E272F5" w:rsidRDefault="009A1DF2">
      <w:pPr>
        <w:pStyle w:val="Standard"/>
        <w:ind w:left="1080"/>
      </w:pPr>
      <w:r>
        <w:rPr>
          <w:noProof/>
          <w:lang w:eastAsia="en-US" w:bidi="ar-SA"/>
        </w:rPr>
        <w:drawing>
          <wp:inline distT="0" distB="0" distL="0" distR="0">
            <wp:extent cx="5362059" cy="4024228"/>
            <wp:effectExtent l="0" t="0" r="0" b="0"/>
            <wp:docPr id="20" name="Picture 26" descr="C:\workspace\master2\master2\exploration_visuelle_des_donnees\Projet_Visualisation\pomeroy\5. LL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5362059" cy="4024228"/>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19 : Representation des indi</w:t>
      </w:r>
      <w:r>
        <w:rPr>
          <w:lang w:val="fr-FR"/>
        </w:rPr>
        <w:t>vidus en fonction de K plus proches voisins sur deux axes factorielle du MDS avec l’algorithme LLE</w:t>
      </w:r>
    </w:p>
    <w:p w:rsidR="00E272F5" w:rsidRDefault="009A1DF2">
      <w:pPr>
        <w:pStyle w:val="Standard"/>
        <w:ind w:left="1080"/>
      </w:pPr>
      <w:r>
        <w:rPr>
          <w:noProof/>
          <w:lang w:eastAsia="en-US" w:bidi="ar-SA"/>
        </w:rPr>
        <w:lastRenderedPageBreak/>
        <w:drawing>
          <wp:inline distT="0" distB="0" distL="0" distR="0">
            <wp:extent cx="5390003" cy="4045195"/>
            <wp:effectExtent l="0" t="0" r="1147" b="0"/>
            <wp:docPr id="21" name="Picture 27" descr="C:\workspace\master2\master2\exploration_visuelle_des_donnees\Projet_Visualisation\pomeroy\5. LL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5390003" cy="4045195"/>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FIGURE 20 : Representation des individus labelises en fonction de K plus proches voisins sur deux axes factorielle du MDS avec l’algorithme LLE</w:t>
      </w:r>
    </w:p>
    <w:p w:rsidR="00E272F5" w:rsidRDefault="009A1DF2">
      <w:pPr>
        <w:pStyle w:val="Standard"/>
        <w:numPr>
          <w:ilvl w:val="0"/>
          <w:numId w:val="4"/>
        </w:numPr>
        <w:rPr>
          <w:lang w:val="fr-FR"/>
        </w:rPr>
      </w:pPr>
      <w:r>
        <w:rPr>
          <w:lang w:val="fr-FR"/>
        </w:rPr>
        <w:t>SOM</w:t>
      </w:r>
    </w:p>
    <w:p w:rsidR="00E272F5" w:rsidRDefault="009A1DF2">
      <w:pPr>
        <w:pStyle w:val="Standard"/>
        <w:ind w:left="1080"/>
      </w:pPr>
      <w:r>
        <w:rPr>
          <w:noProof/>
          <w:lang w:eastAsia="en-US" w:bidi="ar-SA"/>
        </w:rPr>
        <w:drawing>
          <wp:inline distT="0" distB="0" distL="0" distR="0">
            <wp:extent cx="5195995" cy="3899595"/>
            <wp:effectExtent l="0" t="0" r="4655" b="5655"/>
            <wp:docPr id="22" name="Picture 28" descr="C:\workspace\master2\master2\exploration_visuelle_des_donnees\Projet_Visualisation\pomeroy\6. S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5195995" cy="3899595"/>
                    </a:xfrm>
                    <a:prstGeom prst="rect">
                      <a:avLst/>
                    </a:prstGeom>
                    <a:noFill/>
                    <a:ln>
                      <a:noFill/>
                      <a:prstDash/>
                    </a:ln>
                  </pic:spPr>
                </pic:pic>
              </a:graphicData>
            </a:graphic>
          </wp:inline>
        </w:drawing>
      </w:r>
    </w:p>
    <w:p w:rsidR="00E272F5" w:rsidRDefault="009A1DF2">
      <w:pPr>
        <w:pStyle w:val="Standard"/>
        <w:ind w:left="1080"/>
        <w:rPr>
          <w:lang w:val="fr-FR"/>
        </w:rPr>
      </w:pPr>
      <w:r>
        <w:rPr>
          <w:lang w:val="fr-FR"/>
        </w:rPr>
        <w:t>FIGUR</w:t>
      </w:r>
      <w:r>
        <w:rPr>
          <w:lang w:val="fr-FR"/>
        </w:rPr>
        <w:t>E 21 : Mapping plot et U-matrice</w:t>
      </w:r>
    </w:p>
    <w:p w:rsidR="00E272F5" w:rsidRDefault="009A1DF2">
      <w:pPr>
        <w:pStyle w:val="Standard"/>
      </w:pPr>
      <w:r>
        <w:t>IV. Conclusion</w:t>
      </w:r>
    </w:p>
    <w:sectPr w:rsidR="00E272F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DF2" w:rsidRDefault="009A1DF2">
      <w:r>
        <w:separator/>
      </w:r>
    </w:p>
  </w:endnote>
  <w:endnote w:type="continuationSeparator" w:id="0">
    <w:p w:rsidR="009A1DF2" w:rsidRDefault="009A1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DF2" w:rsidRDefault="009A1DF2">
      <w:r>
        <w:rPr>
          <w:color w:val="000000"/>
        </w:rPr>
        <w:separator/>
      </w:r>
    </w:p>
  </w:footnote>
  <w:footnote w:type="continuationSeparator" w:id="0">
    <w:p w:rsidR="009A1DF2" w:rsidRDefault="009A1D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515"/>
    <w:multiLevelType w:val="multilevel"/>
    <w:tmpl w:val="B1D6DB76"/>
    <w:lvl w:ilvl="0">
      <w:start w:val="1"/>
      <w:numFmt w:val="decimal"/>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713FAD"/>
    <w:multiLevelType w:val="multilevel"/>
    <w:tmpl w:val="04EE78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31F3426"/>
    <w:multiLevelType w:val="multilevel"/>
    <w:tmpl w:val="C14066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C213F05"/>
    <w:multiLevelType w:val="multilevel"/>
    <w:tmpl w:val="E542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272F5"/>
    <w:rsid w:val="009A1DF2"/>
    <w:rsid w:val="00D33267"/>
    <w:rsid w:val="00E2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B1DBBA-49B7-40BB-8986-FF32BD1B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ang-en">
    <w:name w:val="lang-en"/>
    <w:basedOn w:val="DefaultParagraphFont"/>
  </w:style>
  <w:style w:type="character" w:styleId="Hyperlink">
    <w:name w:val="Hyperlink"/>
    <w:basedOn w:val="DefaultParagraphFont"/>
    <w:rPr>
      <w:color w:val="0000FF"/>
      <w:u w:val="singl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ngoctu</dc:creator>
  <cp:lastModifiedBy>Ngoctu Nguyen</cp:lastModifiedBy>
  <cp:revision>2</cp:revision>
  <dcterms:created xsi:type="dcterms:W3CDTF">2018-01-15T20:35:00Z</dcterms:created>
  <dcterms:modified xsi:type="dcterms:W3CDTF">2018-01-15T20:35:00Z</dcterms:modified>
</cp:coreProperties>
</file>