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Bảng thống kê các nội dung thay đổi (track changes)</w:t>
      </w:r>
    </w:p>
    <w:tbl>
      <w:tblPr>
        <w:tblW w:type="auto" w:w="0"/>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Vị trí điều khoản</w:t>
            </w:r>
          </w:p>
        </w:tc>
        <w:tc>
          <w:tcPr>
            <w:tcW w:type="dxa" w:w="2160"/>
          </w:tcPr>
          <w:p>
            <w:r>
              <w:t>Trước điều chỉnh</w:t>
            </w:r>
          </w:p>
        </w:tc>
        <w:tc>
          <w:tcPr>
            <w:tcW w:type="dxa" w:w="2160"/>
          </w:tcPr>
          <w:p>
            <w:r>
              <w:t>Sau điều chỉnh</w:t>
            </w:r>
          </w:p>
        </w:tc>
      </w:tr>
      <w:tr>
        <w:tc>
          <w:tcPr>
            <w:tcW w:type="dxa" w:w="2160"/>
          </w:tcPr>
          <w:p>
            <w:r>
              <w:t>1</w:t>
            </w:r>
          </w:p>
        </w:tc>
        <w:tc>
          <w:tcPr>
            <w:tcW w:type="dxa" w:w="2160"/>
          </w:tcPr>
          <w:p>
            <w:r>
              <w:t>Mục lục (Trang)</w:t>
            </w:r>
          </w:p>
        </w:tc>
        <w:tc>
          <w:tcPr>
            <w:tcW w:type="dxa" w:w="2160"/>
          </w:tcPr>
          <w:p>
            <w:r>
              <w:t>Bước 2: trang 9; Bước 3: trang 9; Bước 4, 5: trang 10; Bước 6: trang 17</w:t>
            </w:r>
          </w:p>
        </w:tc>
        <w:tc>
          <w:tcPr>
            <w:tcW w:type="dxa" w:w="2160"/>
          </w:tcPr>
          <w:p>
            <w:r>
              <w:t>Bước 2: trang 10; Bước 3: trang 11; Bước 4, 5: trang 11; Bước 6: trang 18</w:t>
            </w:r>
          </w:p>
        </w:tc>
      </w:tr>
      <w:tr>
        <w:tc>
          <w:tcPr>
            <w:tcW w:type="dxa" w:w="2160"/>
          </w:tcPr>
          <w:p>
            <w:r>
              <w:t>2</w:t>
            </w:r>
          </w:p>
        </w:tc>
        <w:tc>
          <w:tcPr>
            <w:tcW w:type="dxa" w:w="2160"/>
          </w:tcPr>
          <w:p>
            <w:r>
              <w:t>Điều 2, Khoản 1</w:t>
            </w:r>
          </w:p>
        </w:tc>
        <w:tc>
          <w:tcPr>
            <w:tcW w:type="dxa" w:w="2160"/>
          </w:tcPr>
          <w:p>
            <w:r>
              <w:t>Chi phí dự toán được "tính đúng, tính đủ"</w:t>
            </w:r>
          </w:p>
        </w:tc>
        <w:tc>
          <w:tcPr>
            <w:tcW w:type="dxa" w:w="2160"/>
          </w:tcPr>
          <w:p>
            <w:r>
              <w:t>Chi phí dự toán được "xác định tương ứng" để phù hợp với nguyên tắc quản lý</w:t>
            </w:r>
          </w:p>
        </w:tc>
      </w:tr>
      <w:tr>
        <w:tc>
          <w:tcPr>
            <w:tcW w:type="dxa" w:w="2160"/>
          </w:tcPr>
          <w:p>
            <w:r>
              <w:t>3</w:t>
            </w:r>
          </w:p>
        </w:tc>
        <w:tc>
          <w:tcPr>
            <w:tcW w:type="dxa" w:w="2160"/>
          </w:tcPr>
          <w:p>
            <w:r>
              <w:t>Điều 4 (Văn bản luật)</w:t>
            </w:r>
          </w:p>
        </w:tc>
        <w:tc>
          <w:tcPr>
            <w:tcW w:type="dxa" w:w="2160"/>
          </w:tcPr>
          <w:p>
            <w:r>
              <w:t>Luật Đấu thầu số 22/2023/QH15</w:t>
            </w:r>
          </w:p>
        </w:tc>
        <w:tc>
          <w:tcPr>
            <w:tcW w:type="dxa" w:w="2160"/>
          </w:tcPr>
          <w:p>
            <w:r>
              <w:t>Bổ sung: Luật số 57/2024/QH15 và Luật số 90/2025/QH15</w:t>
            </w:r>
          </w:p>
        </w:tc>
      </w:tr>
      <w:tr>
        <w:tc>
          <w:tcPr>
            <w:tcW w:type="dxa" w:w="2160"/>
          </w:tcPr>
          <w:p>
            <w:r>
              <w:t>4</w:t>
            </w:r>
          </w:p>
        </w:tc>
        <w:tc>
          <w:tcPr>
            <w:tcW w:type="dxa" w:w="2160"/>
          </w:tcPr>
          <w:p>
            <w:r>
              <w:t>Điều 4 (Nghị định)</w:t>
            </w:r>
          </w:p>
        </w:tc>
        <w:tc>
          <w:tcPr>
            <w:tcW w:type="dxa" w:w="2160"/>
          </w:tcPr>
          <w:p>
            <w:r>
              <w:t>Nghị định số 24/2024/NĐ-CP ngày 27/02/2024</w:t>
            </w:r>
          </w:p>
        </w:tc>
        <w:tc>
          <w:tcPr>
            <w:tcW w:type="dxa" w:w="2160"/>
          </w:tcPr>
          <w:p>
            <w:r>
              <w:t>Nghị định số 214/2025/NĐ-CP ngày 04/08/2025</w:t>
            </w:r>
          </w:p>
        </w:tc>
      </w:tr>
      <w:tr>
        <w:tc>
          <w:tcPr>
            <w:tcW w:type="dxa" w:w="2160"/>
          </w:tcPr>
          <w:p>
            <w:r>
              <w:t>5</w:t>
            </w:r>
          </w:p>
        </w:tc>
        <w:tc>
          <w:tcPr>
            <w:tcW w:type="dxa" w:w="2160"/>
          </w:tcPr>
          <w:p>
            <w:r>
              <w:t>Điều 4 (Quyết định nội bộ)</w:t>
            </w:r>
          </w:p>
        </w:tc>
        <w:tc>
          <w:tcPr>
            <w:tcW w:type="dxa" w:w="2160"/>
          </w:tcPr>
          <w:p>
            <w:r>
              <w:t>Quyết định số 127/QĐ-NĐVT4 ngày 01/10/2023</w:t>
            </w:r>
          </w:p>
        </w:tc>
        <w:tc>
          <w:tcPr>
            <w:tcW w:type="dxa" w:w="2160"/>
          </w:tcPr>
          <w:p>
            <w:r>
              <w:t>Quyết định số 1884/QĐ-NĐVT4 ngày 27/12/2025</w:t>
            </w:r>
          </w:p>
        </w:tc>
      </w:tr>
      <w:tr>
        <w:tc>
          <w:tcPr>
            <w:tcW w:type="dxa" w:w="2160"/>
          </w:tcPr>
          <w:p>
            <w:r>
              <w:t>6</w:t>
            </w:r>
          </w:p>
        </w:tc>
        <w:tc>
          <w:tcPr>
            <w:tcW w:type="dxa" w:w="2160"/>
          </w:tcPr>
          <w:p>
            <w:r>
              <w:t>Điều 7, Bước 1</w:t>
            </w:r>
          </w:p>
        </w:tc>
        <w:tc>
          <w:tcPr>
            <w:tcW w:type="dxa" w:w="2160"/>
          </w:tcPr>
          <w:p>
            <w:r>
              <w:t>Căn cứ quy định về ĐTXD, SXKD, "đấu thầu"</w:t>
            </w:r>
          </w:p>
        </w:tc>
        <w:tc>
          <w:tcPr>
            <w:tcW w:type="dxa" w:w="2160"/>
          </w:tcPr>
          <w:p>
            <w:r>
              <w:t>Căn cứ quy định về ĐTXD, SXKD, "mua sắm" (đổi tên theo QĐ 30)</w:t>
            </w:r>
          </w:p>
        </w:tc>
      </w:tr>
      <w:tr>
        <w:tc>
          <w:tcPr>
            <w:tcW w:type="dxa" w:w="2160"/>
          </w:tcPr>
          <w:p>
            <w:r>
              <w:t>7</w:t>
            </w:r>
          </w:p>
        </w:tc>
        <w:tc>
          <w:tcPr>
            <w:tcW w:type="dxa" w:w="2160"/>
          </w:tcPr>
          <w:p>
            <w:r>
              <w:t>Điều 7, Bước 1.3</w:t>
            </w:r>
          </w:p>
        </w:tc>
        <w:tc>
          <w:tcPr>
            <w:tcW w:type="dxa" w:w="2160"/>
          </w:tcPr>
          <w:p>
            <w:r>
              <w:t>Bắt buộc thẩm định các nội dung đấu thầu cho các hình thức chào hàng cạnh tranh</w:t>
            </w:r>
          </w:p>
        </w:tc>
        <w:tc>
          <w:tcPr>
            <w:tcW w:type="dxa" w:w="2160"/>
          </w:tcPr>
          <w:p>
            <w:r>
              <w:t>Không bắt buộc thẩm định đối với gói thầu chào hàng cạnh tranh, chỉ định thầu, ký hợp đồng trực tiếp</w:t>
            </w:r>
          </w:p>
        </w:tc>
      </w:tr>
      <w:tr>
        <w:tc>
          <w:tcPr>
            <w:tcW w:type="dxa" w:w="2160"/>
          </w:tcPr>
          <w:p>
            <w:r>
              <w:t>8</w:t>
            </w:r>
          </w:p>
        </w:tc>
        <w:tc>
          <w:tcPr>
            <w:tcW w:type="dxa" w:w="2160"/>
          </w:tcPr>
          <w:p>
            <w:r>
              <w:t>Điều 7, Bước 2</w:t>
            </w:r>
          </w:p>
        </w:tc>
        <w:tc>
          <w:tcPr>
            <w:tcW w:type="dxa" w:w="2160"/>
          </w:tcPr>
          <w:p>
            <w:r>
              <w:t>Chia ra 02 trường hợp xử lý riêng biệt cho dự toán và lựa chọn nhà thầu</w:t>
            </w:r>
          </w:p>
        </w:tc>
        <w:tc>
          <w:tcPr>
            <w:tcW w:type="dxa" w:w="2160"/>
          </w:tcPr>
          <w:p>
            <w:r>
              <w:t>Gộp chung quy trình xử lý tiếp nhận đề nghị thẩm định để đơn giản hóa</w:t>
            </w:r>
          </w:p>
        </w:tc>
      </w:tr>
      <w:tr>
        <w:tc>
          <w:tcPr>
            <w:tcW w:type="dxa" w:w="2160"/>
          </w:tcPr>
          <w:p>
            <w:r>
              <w:t>9</w:t>
            </w:r>
          </w:p>
        </w:tc>
        <w:tc>
          <w:tcPr>
            <w:tcW w:type="dxa" w:w="2160"/>
          </w:tcPr>
          <w:p>
            <w:r>
              <w:t>Điều 7, Bước 2</w:t>
            </w:r>
          </w:p>
        </w:tc>
        <w:tc>
          <w:tcPr>
            <w:tcW w:type="dxa" w:w="2160"/>
          </w:tcPr>
          <w:p>
            <w:r>
              <w:t>Phân công 01 nhân sự thực hiện thẩm định</w:t>
            </w:r>
          </w:p>
        </w:tc>
        <w:tc>
          <w:tcPr>
            <w:tcW w:type="dxa" w:w="2160"/>
          </w:tcPr>
          <w:p>
            <w:r>
              <w:t>Phân công 01 hoặc một số nhân sự chủ trì và tối thiểu 01 nhân sự phối hợp</w:t>
            </w:r>
          </w:p>
        </w:tc>
      </w:tr>
      <w:tr>
        <w:tc>
          <w:tcPr>
            <w:tcW w:type="dxa" w:w="2160"/>
          </w:tcPr>
          <w:p>
            <w:r>
              <w:t>10</w:t>
            </w:r>
          </w:p>
        </w:tc>
        <w:tc>
          <w:tcPr>
            <w:tcW w:type="dxa" w:w="2160"/>
          </w:tcPr>
          <w:p>
            <w:r>
              <w:t>Điều 7, Bước 5.1.1</w:t>
            </w:r>
          </w:p>
        </w:tc>
        <w:tc>
          <w:tcPr>
            <w:tcW w:type="dxa" w:w="2160"/>
          </w:tcPr>
          <w:p>
            <w:r>
              <w:t>Căn cứ các văn bản pháp lý và quy chế cũ</w:t>
            </w:r>
          </w:p>
        </w:tc>
        <w:tc>
          <w:tcPr>
            <w:tcW w:type="dxa" w:w="2160"/>
          </w:tcPr>
          <w:p>
            <w:r>
              <w:t>Bỏ văn bản hết hiệu lực, bổ sung Quyết định 630 và Quy chế 30 của EVN</w:t>
            </w:r>
          </w:p>
        </w:tc>
      </w:tr>
      <w:tr>
        <w:tc>
          <w:tcPr>
            <w:tcW w:type="dxa" w:w="2160"/>
          </w:tcPr>
          <w:p>
            <w:r>
              <w:t>11</w:t>
            </w:r>
          </w:p>
        </w:tc>
        <w:tc>
          <w:tcPr>
            <w:tcW w:type="dxa" w:w="2160"/>
          </w:tcPr>
          <w:p>
            <w:r>
              <w:t>Điều 7, Bước 5.2.5</w:t>
            </w:r>
          </w:p>
        </w:tc>
        <w:tc>
          <w:tcPr>
            <w:tcW w:type="dxa" w:w="2160"/>
          </w:tcPr>
          <w:p>
            <w:r>
              <w:t>Kiểm tra về "Tùy chọn mua thêm"</w:t>
            </w:r>
          </w:p>
        </w:tc>
        <w:tc>
          <w:tcPr>
            <w:tcW w:type="dxa" w:w="2160"/>
          </w:tcPr>
          <w:p>
            <w:r>
              <w:t>Loại bỏ nội dung tùy chọn mua thêm theo Luật Đấu thầu mới</w:t>
            </w:r>
          </w:p>
        </w:tc>
      </w:tr>
      <w:tr>
        <w:tc>
          <w:tcPr>
            <w:tcW w:type="dxa" w:w="2160"/>
          </w:tcPr>
          <w:p>
            <w:r>
              <w:t>12</w:t>
            </w:r>
          </w:p>
        </w:tc>
        <w:tc>
          <w:tcPr>
            <w:tcW w:type="dxa" w:w="2160"/>
          </w:tcPr>
          <w:p>
            <w:r>
              <w:t>Điều 7, Bước 6.1</w:t>
            </w:r>
          </w:p>
        </w:tc>
        <w:tc>
          <w:tcPr>
            <w:tcW w:type="dxa" w:w="2160"/>
          </w:tcPr>
          <w:p>
            <w:r>
              <w:t>Quy trình phát hành báo cáo thẩm định chung</w:t>
            </w:r>
          </w:p>
        </w:tc>
        <w:tc>
          <w:tcPr>
            <w:tcW w:type="dxa" w:w="2160"/>
          </w:tcPr>
          <w:p>
            <w:r>
              <w:t>Bổ sung quy trình khi chỉ có 1 nhân sự thẩm định và Tổ trưởng</w:t>
            </w:r>
          </w:p>
        </w:tc>
      </w:tr>
    </w:tbl>
    <w:p>
      <w:r>
        <w:t>Lưu ý: Các thay đổi này chủ yếu nhằm cập nhật các căn cứ pháp lý mới nhất (như Luật Đấu thầu 2023, Quy chế mua sắm 30 của EVN) và điều chỉnh quy trình cho phù hợp với thực tế vận hành tại Nhà máy.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