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thống kê chi tiết các nội dung thay đổi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Vị trí điều khoản</w:t>
            </w:r>
          </w:p>
        </w:tc>
        <w:tc>
          <w:tcPr>
            <w:tcW w:type="dxa" w:w="2160"/>
          </w:tcPr>
          <w:p>
            <w:r>
              <w:t>Trước điều chỉnh</w:t>
            </w:r>
          </w:p>
        </w:tc>
        <w:tc>
          <w:tcPr>
            <w:tcW w:type="dxa" w:w="2160"/>
          </w:tcPr>
          <w:p>
            <w:r>
              <w:t>Sau điều chỉnh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Căn cứ (đầu Quyết định)</w:t>
            </w:r>
          </w:p>
        </w:tc>
        <w:tc>
          <w:tcPr>
            <w:tcW w:type="dxa" w:w="2160"/>
          </w:tcPr>
          <w:p>
            <w:r>
              <w:t>Chưa có căn cứ Quy chế 30</w:t>
            </w:r>
          </w:p>
        </w:tc>
        <w:tc>
          <w:tcPr>
            <w:tcW w:type="dxa" w:w="2160"/>
          </w:tcPr>
          <w:p>
            <w:r>
              <w:t>Căn cứ Quy chế mua sắm số 30/QĐ-HĐTV ngày 12/02/2026 của Hội đồng thành viên Tập đoàn điện lực Việt Nam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Mục lục (Trang)</w:t>
            </w:r>
          </w:p>
        </w:tc>
        <w:tc>
          <w:tcPr>
            <w:tcW w:type="dxa" w:w="2160"/>
          </w:tcPr>
          <w:p>
            <w:r>
              <w:t>Bước 2: trang 9; Bước 3: trang 9; Bước 4,5: trang 10; Bước 6: trang 17</w:t>
            </w:r>
          </w:p>
        </w:tc>
        <w:tc>
          <w:tcPr>
            <w:tcW w:type="dxa" w:w="2160"/>
          </w:tcPr>
          <w:p>
            <w:r>
              <w:t>Bước 2: trang 10; Bước 3: trang 11; Bước 4,5: trang 11; Bước 6: trang 18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Điều 1, Khoản 2</w:t>
            </w:r>
          </w:p>
        </w:tc>
        <w:tc>
          <w:tcPr>
            <w:tcW w:type="dxa" w:w="2160"/>
          </w:tcPr>
          <w:p>
            <w:r>
              <w:t>Đảm bảo tính chính xác, công khai, minh bạch, công bằng hiệu quả</w:t>
            </w:r>
          </w:p>
        </w:tc>
        <w:tc>
          <w:tcPr>
            <w:tcW w:type="dxa" w:w="2160"/>
          </w:tcPr>
          <w:p>
            <w:r>
              <w:t>Đảm bảo tính chính xác, công khai, minh bạch, công bằng hiệu quả và trách nhiệm giải trình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Điều 2, Khoản 1</w:t>
            </w:r>
          </w:p>
        </w:tc>
        <w:tc>
          <w:tcPr>
            <w:tcW w:type="dxa" w:w="2160"/>
          </w:tcPr>
          <w:p>
            <w:r>
              <w:t>Đảm bảo chi phí dự toán được tính đúng, tính đủ</w:t>
            </w:r>
          </w:p>
        </w:tc>
        <w:tc>
          <w:tcPr>
            <w:tcW w:type="dxa" w:w="2160"/>
          </w:tcPr>
          <w:p>
            <w:r>
              <w:t>Đảm bảo chi phí dự toán được xác định tương ứng phù hợp với nội dung công việc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Điều 2, Khoản 2</w:t>
            </w:r>
          </w:p>
        </w:tc>
        <w:tc>
          <w:tcPr>
            <w:tcW w:type="dxa" w:w="2160"/>
          </w:tcPr>
          <w:p>
            <w:r>
              <w:t>...nguyên tắc công khai, minh bạch, hiệu quả, cạnh tranh, công bằng, minh bạch</w:t>
            </w:r>
          </w:p>
        </w:tc>
        <w:tc>
          <w:tcPr>
            <w:tcW w:type="dxa" w:w="2160"/>
          </w:tcPr>
          <w:p>
            <w:r>
              <w:t>...nguyên tắc công khai, minh bạch, hiệu quả, cạnh tranh, công bằng, minh bạch và trách nhiệm giải trình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Điều 4 (Luật)</w:t>
            </w:r>
          </w:p>
        </w:tc>
        <w:tc>
          <w:tcPr>
            <w:tcW w:type="dxa" w:w="2160"/>
          </w:tcPr>
          <w:p>
            <w:r>
              <w:t>Luật Đấu thầu số 22/2023/QH15 ngày 23/06/2023</w:t>
            </w:r>
          </w:p>
        </w:tc>
        <w:tc>
          <w:tcPr>
            <w:tcW w:type="dxa" w:w="2160"/>
          </w:tcPr>
          <w:p>
            <w:r>
              <w:t>Luật Đấu thầu số 22/2023/QH15; Luật số 57/2024/QH15 ngày 29/11/2024; Luật số 90/2025/QH15 ngày 25/6/2025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Điều 4 (Nghị định)</w:t>
            </w:r>
          </w:p>
        </w:tc>
        <w:tc>
          <w:tcPr>
            <w:tcW w:type="dxa" w:w="2160"/>
          </w:tcPr>
          <w:p>
            <w:r>
              <w:t>Nghị định số 24/2024/NĐ-CP ngày 27/02/2024</w:t>
            </w:r>
          </w:p>
        </w:tc>
        <w:tc>
          <w:tcPr>
            <w:tcW w:type="dxa" w:w="2160"/>
          </w:tcPr>
          <w:p>
            <w:r>
              <w:t>Nghị định số 214/2025/NĐ-CP ngày 04/08/2025 hướng dẫn Luật Đấu thầu về lựa chọn nhà thầu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Điều 4 (Văn bản EVN)</w:t>
            </w:r>
          </w:p>
        </w:tc>
        <w:tc>
          <w:tcPr>
            <w:tcW w:type="dxa" w:w="2160"/>
          </w:tcPr>
          <w:p>
            <w:r>
              <w:t>Quyết định số 127/QĐ-HĐTV ngày 01/10/2021</w:t>
            </w:r>
          </w:p>
        </w:tc>
        <w:tc>
          <w:tcPr>
            <w:tcW w:type="dxa" w:w="2160"/>
          </w:tcPr>
          <w:p>
            <w:r>
              <w:t>Quy chế mua sắm số 30/QĐ-HĐTV ngày 12/02/2026 của Hội đồng thành viên EVN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Điều 4 (Văn bản VT4)</w:t>
            </w:r>
          </w:p>
        </w:tc>
        <w:tc>
          <w:tcPr>
            <w:tcW w:type="dxa" w:w="2160"/>
          </w:tcPr>
          <w:p>
            <w:r>
              <w:t>Quyết định số 127/QĐ-NĐVT4 ngày 01/10/2023</w:t>
            </w:r>
          </w:p>
        </w:tc>
        <w:tc>
          <w:tcPr>
            <w:tcW w:type="dxa" w:w="2160"/>
          </w:tcPr>
          <w:p>
            <w:r>
              <w:t>Quyết định số 1884/QĐ-NĐVT4 ngày 27/12/2025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Điều 7, Bước 1</w:t>
            </w:r>
          </w:p>
        </w:tc>
        <w:tc>
          <w:tcPr>
            <w:tcW w:type="dxa" w:w="2160"/>
          </w:tcPr>
          <w:p>
            <w:r>
              <w:t>...về ĐTXD, SXKD, đấu thầu</w:t>
            </w:r>
          </w:p>
        </w:tc>
        <w:tc>
          <w:tcPr>
            <w:tcW w:type="dxa" w:w="2160"/>
          </w:tcPr>
          <w:p>
            <w:r>
              <w:t>...về ĐTXD, SXKD, mua sắm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Điều 7, Bước 1.2</w:t>
            </w:r>
          </w:p>
        </w:tc>
        <w:tc>
          <w:tcPr>
            <w:tcW w:type="dxa" w:w="2160"/>
          </w:tcPr>
          <w:p>
            <w:r>
              <w:t>Chưa quy định ngoại lệ</w:t>
            </w:r>
          </w:p>
        </w:tc>
        <w:tc>
          <w:tcPr>
            <w:tcW w:type="dxa" w:w="2160"/>
          </w:tcPr>
          <w:p>
            <w:r>
              <w:t>Bổ sung: Không thẩm định KHLCNT với gói thầu không thuộc dự án đầu tư và mua sắm nhỏ lẻ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Điều 7, Bước 1.3</w:t>
            </w:r>
          </w:p>
        </w:tc>
        <w:tc>
          <w:tcPr>
            <w:tcW w:type="dxa" w:w="2160"/>
          </w:tcPr>
          <w:p>
            <w:r>
              <w:t>Chưa quy định ngoại lệ</w:t>
            </w:r>
          </w:p>
        </w:tc>
        <w:tc>
          <w:tcPr>
            <w:tcW w:type="dxa" w:w="2160"/>
          </w:tcPr>
          <w:p>
            <w:r>
              <w:t>Bổ sung: Không phải thẩm định với mua sắm nhỏ lẻ; không bắt buộc với chào hàng cạnh tranh, chỉ định thầu, ký hợp đồng trực tiếp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Điều 7, Bước 2</w:t>
            </w:r>
          </w:p>
        </w:tc>
        <w:tc>
          <w:tcPr>
            <w:tcW w:type="dxa" w:w="2160"/>
          </w:tcPr>
          <w:p>
            <w:r>
              <w:t>Chia 2 trường hợp xử lý riêng</w:t>
            </w:r>
          </w:p>
        </w:tc>
        <w:tc>
          <w:tcPr>
            <w:tcW w:type="dxa" w:w="2160"/>
          </w:tcPr>
          <w:p>
            <w:r>
              <w:t>Gộp chung quy trình tiếp nhận và xử lý đề nghị thẩm định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Điều 7, Bước 2</w:t>
            </w:r>
          </w:p>
        </w:tc>
        <w:tc>
          <w:tcPr>
            <w:tcW w:type="dxa" w:w="2160"/>
          </w:tcPr>
          <w:p>
            <w:r>
              <w:t>Phân công 1 nhân sự thực hiện</w:t>
            </w:r>
          </w:p>
        </w:tc>
        <w:tc>
          <w:tcPr>
            <w:tcW w:type="dxa" w:w="2160"/>
          </w:tcPr>
          <w:p>
            <w:r>
              <w:t>Phân công 01 hoặc một số nhân sự chủ trì và tối thiểu 01 nhân sự phối hợp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Điều 7, Bước 5.1.1</w:t>
            </w:r>
          </w:p>
        </w:tc>
        <w:tc>
          <w:tcPr>
            <w:tcW w:type="dxa" w:w="2160"/>
          </w:tcPr>
          <w:p>
            <w:r>
              <w:t>Quy chế đầu tư xây dựng; Quy chế SXKD điện</w:t>
            </w:r>
          </w:p>
        </w:tc>
        <w:tc>
          <w:tcPr>
            <w:tcW w:type="dxa" w:w="2160"/>
          </w:tcPr>
          <w:p>
            <w:r>
              <w:t>Bổ sung: Văn bản phân cấp cho Giám đốc đơn vị trực thuộc (QĐ 630); Quy chế mua sắm (QC 30)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Điều 7, Bước 5.2.2</w:t>
            </w:r>
          </w:p>
        </w:tc>
        <w:tc>
          <w:tcPr>
            <w:tcW w:type="dxa" w:w="2160"/>
          </w:tcPr>
          <w:p>
            <w:r>
              <w:t>Giá gói thầu không bao gồm tùy chọn mua thêm</w:t>
            </w:r>
          </w:p>
        </w:tc>
        <w:tc>
          <w:tcPr>
            <w:tcW w:type="dxa" w:w="2160"/>
          </w:tcPr>
          <w:p>
            <w:r>
              <w:t>Loại bỏ nội dung tùy chọn mua thêm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Điều 7, Bước 5.2.2</w:t>
            </w:r>
          </w:p>
        </w:tc>
        <w:tc>
          <w:tcPr>
            <w:tcW w:type="dxa" w:w="2160"/>
          </w:tcPr>
          <w:p>
            <w:r>
              <w:t>Nêu rõ nguồn vốn bao gồm SXKD, ĐTXD, Quỹ đầu tư phát triển</w:t>
            </w:r>
          </w:p>
        </w:tc>
        <w:tc>
          <w:tcPr>
            <w:tcW w:type="dxa" w:w="2160"/>
          </w:tcPr>
          <w:p>
            <w:r>
              <w:t>Bỏ liệt kê chi tiết nguồn vốn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Điều 7, Bước 5.2.2</w:t>
            </w:r>
          </w:p>
        </w:tc>
        <w:tc>
          <w:tcPr>
            <w:tcW w:type="dxa" w:w="2160"/>
          </w:tcPr>
          <w:p>
            <w:r>
              <w:t>Mục Tùy chọn mua thêm (nếu có)</w:t>
            </w:r>
          </w:p>
        </w:tc>
        <w:tc>
          <w:tcPr>
            <w:tcW w:type="dxa" w:w="2160"/>
          </w:tcPr>
          <w:p>
            <w:r>
              <w:t>Loại bỏ toàn bộ mục này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Điều 7, Bước 6.1</w:t>
            </w:r>
          </w:p>
        </w:tc>
        <w:tc>
          <w:tcPr>
            <w:tcW w:type="dxa" w:w="2160"/>
          </w:tcPr>
          <w:p>
            <w:r>
              <w:t>Quy trình phát hành báo cáo thẩm định chung</w:t>
            </w:r>
          </w:p>
        </w:tc>
        <w:tc>
          <w:tcPr>
            <w:tcW w:type="dxa" w:w="2160"/>
          </w:tcPr>
          <w:p>
            <w:r>
              <w:t>Bổ sung chi tiết quy trình xử lý ý kiến góp ý và trường hợp 1 nhân sự thực hiện</w:t>
            </w:r>
          </w:p>
        </w:tc>
      </w:tr>
    </w:tbl>
    <w:p>
      <w:r>
        <w:t>Lưu ý: Việc điều chỉnh nhằm cập nhật các văn bản pháp luật mới (Luật Đấu thầu 2023, Nghị định 214/2025/NĐ-CP) và các quy chế nội bộ mới của EVN (Quy chế 30, Quyết định 630) nhằm đảm bảo tính tuân thủ và trách nhiệm giải trình.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