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080C" w:rsidRPr="00DC03C7" w:rsidRDefault="0015080C" w:rsidP="0015080C">
      <w:pPr>
        <w:jc w:val="center"/>
        <w:rPr>
          <w:rFonts w:cstheme="minorHAnsi"/>
          <w:lang w:val="en-US"/>
        </w:rPr>
      </w:pPr>
    </w:p>
    <w:p w:rsidR="0015080C" w:rsidRPr="00DC03C7" w:rsidRDefault="0015080C" w:rsidP="0015080C">
      <w:pPr>
        <w:jc w:val="center"/>
        <w:rPr>
          <w:rFonts w:cstheme="minorHAnsi"/>
          <w:lang w:val="en-US"/>
        </w:rPr>
      </w:pPr>
      <w:r w:rsidRPr="00DC03C7">
        <w:rPr>
          <w:rFonts w:cstheme="minorHAnsi"/>
          <w:noProof/>
          <w:lang w:val="en-US"/>
        </w:rPr>
        <w:drawing>
          <wp:inline distT="0" distB="0" distL="0" distR="0">
            <wp:extent cx="4168140" cy="2087880"/>
            <wp:effectExtent l="0" t="0" r="0" b="0"/>
            <wp:docPr id="1" name="Picture 1" descr="A logo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logo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080C" w:rsidRPr="00DC03C7" w:rsidRDefault="0015080C" w:rsidP="0015080C">
      <w:pPr>
        <w:jc w:val="center"/>
        <w:rPr>
          <w:rFonts w:cstheme="minorHAnsi"/>
          <w:lang w:val="en-US"/>
        </w:rPr>
      </w:pPr>
    </w:p>
    <w:p w:rsidR="0015080C" w:rsidRPr="00DC03C7" w:rsidRDefault="0015080C" w:rsidP="0015080C">
      <w:pPr>
        <w:jc w:val="center"/>
        <w:rPr>
          <w:rFonts w:cstheme="minorHAnsi"/>
          <w:b/>
          <w:color w:val="1F4E79" w:themeColor="accent1" w:themeShade="80"/>
          <w:sz w:val="96"/>
          <w:szCs w:val="96"/>
          <w:lang w:val="en-US"/>
        </w:rPr>
      </w:pPr>
      <w:r w:rsidRPr="00DC03C7">
        <w:rPr>
          <w:rFonts w:cstheme="minorHAnsi"/>
          <w:b/>
          <w:color w:val="1F4E79" w:themeColor="accent1" w:themeShade="80"/>
          <w:sz w:val="96"/>
          <w:szCs w:val="96"/>
        </w:rPr>
        <w:t>COMP</w:t>
      </w:r>
      <w:r w:rsidRPr="00DC03C7">
        <w:rPr>
          <w:rFonts w:cstheme="minorHAnsi"/>
          <w:b/>
          <w:color w:val="1F4E79" w:themeColor="accent1" w:themeShade="80"/>
          <w:sz w:val="96"/>
          <w:szCs w:val="96"/>
          <w:lang w:val="en-US"/>
        </w:rPr>
        <w:t>1787</w:t>
      </w:r>
    </w:p>
    <w:p w:rsidR="0015080C" w:rsidRPr="00DC03C7" w:rsidRDefault="0015080C" w:rsidP="0015080C">
      <w:pPr>
        <w:ind w:left="60"/>
        <w:jc w:val="center"/>
        <w:rPr>
          <w:rFonts w:cstheme="minorHAnsi"/>
          <w:b/>
          <w:color w:val="1F4E79" w:themeColor="accent1" w:themeShade="80"/>
          <w:sz w:val="56"/>
          <w:szCs w:val="56"/>
        </w:rPr>
      </w:pPr>
      <w:r w:rsidRPr="00DC03C7">
        <w:rPr>
          <w:rFonts w:cstheme="minorHAnsi"/>
          <w:b/>
          <w:color w:val="1F4E79" w:themeColor="accent1" w:themeShade="80"/>
          <w:sz w:val="56"/>
          <w:szCs w:val="56"/>
        </w:rPr>
        <w:t>Requirements Management</w:t>
      </w:r>
    </w:p>
    <w:p w:rsidR="0015080C" w:rsidRPr="00DC03C7" w:rsidRDefault="0015080C" w:rsidP="0015080C">
      <w:pPr>
        <w:ind w:left="60"/>
        <w:jc w:val="center"/>
        <w:rPr>
          <w:rFonts w:cstheme="minorHAnsi"/>
        </w:rPr>
      </w:pPr>
    </w:p>
    <w:p w:rsidR="0015080C" w:rsidRPr="00DC03C7" w:rsidRDefault="0015080C" w:rsidP="0015080C">
      <w:pPr>
        <w:ind w:left="60"/>
        <w:jc w:val="center"/>
        <w:rPr>
          <w:rFonts w:cstheme="minorHAnsi"/>
          <w:lang w:val="en-US"/>
        </w:rPr>
      </w:pPr>
    </w:p>
    <w:p w:rsidR="0015080C" w:rsidRPr="00DC03C7" w:rsidRDefault="0015080C" w:rsidP="0015080C">
      <w:pPr>
        <w:ind w:left="60"/>
        <w:jc w:val="center"/>
        <w:rPr>
          <w:rFonts w:cstheme="minorHAnsi"/>
          <w:lang w:val="en-US"/>
        </w:rPr>
      </w:pPr>
    </w:p>
    <w:p w:rsidR="0015080C" w:rsidRPr="00DC03C7" w:rsidRDefault="0015080C" w:rsidP="0015080C">
      <w:pPr>
        <w:ind w:left="60"/>
        <w:jc w:val="center"/>
        <w:rPr>
          <w:rFonts w:cstheme="minorHAnsi"/>
          <w:sz w:val="24"/>
          <w:szCs w:val="24"/>
        </w:rPr>
      </w:pPr>
    </w:p>
    <w:p w:rsidR="0015080C" w:rsidRPr="00DC03C7" w:rsidRDefault="0015080C" w:rsidP="0015080C">
      <w:pPr>
        <w:rPr>
          <w:rFonts w:cstheme="minorHAnsi"/>
          <w:sz w:val="28"/>
          <w:szCs w:val="28"/>
        </w:rPr>
      </w:pPr>
      <w:r w:rsidRPr="00DC03C7">
        <w:rPr>
          <w:rFonts w:cstheme="minorHAnsi"/>
          <w:b/>
          <w:sz w:val="28"/>
          <w:szCs w:val="28"/>
        </w:rPr>
        <w:t>Student’s Name</w:t>
      </w:r>
      <w:r w:rsidRPr="00DC03C7">
        <w:rPr>
          <w:rFonts w:cstheme="minorHAnsi"/>
          <w:sz w:val="28"/>
          <w:szCs w:val="28"/>
        </w:rPr>
        <w:t>: Vu Thanh Nguyen</w:t>
      </w:r>
    </w:p>
    <w:p w:rsidR="0015080C" w:rsidRPr="00DC03C7" w:rsidRDefault="0015080C" w:rsidP="0015080C">
      <w:pPr>
        <w:rPr>
          <w:rFonts w:cstheme="minorHAnsi"/>
          <w:sz w:val="28"/>
          <w:szCs w:val="28"/>
          <w:lang w:val="en-US"/>
        </w:rPr>
      </w:pPr>
      <w:r w:rsidRPr="00DC03C7">
        <w:rPr>
          <w:rFonts w:cstheme="minorHAnsi"/>
          <w:b/>
          <w:sz w:val="28"/>
          <w:szCs w:val="28"/>
        </w:rPr>
        <w:t>Student’s ID</w:t>
      </w:r>
      <w:r w:rsidRPr="00DC03C7">
        <w:rPr>
          <w:rFonts w:cstheme="minorHAnsi"/>
          <w:sz w:val="28"/>
          <w:szCs w:val="28"/>
        </w:rPr>
        <w:t xml:space="preserve">: GCH221117 </w:t>
      </w:r>
    </w:p>
    <w:p w:rsidR="0015080C" w:rsidRPr="00DC03C7" w:rsidRDefault="0015080C" w:rsidP="0015080C">
      <w:pPr>
        <w:rPr>
          <w:rFonts w:cstheme="minorHAnsi"/>
          <w:sz w:val="28"/>
          <w:szCs w:val="28"/>
          <w:lang w:val="en-US"/>
        </w:rPr>
      </w:pPr>
      <w:r w:rsidRPr="00DC03C7">
        <w:rPr>
          <w:rFonts w:cstheme="minorHAnsi"/>
          <w:b/>
          <w:sz w:val="28"/>
          <w:szCs w:val="28"/>
        </w:rPr>
        <w:t>Submission Date</w:t>
      </w:r>
      <w:r w:rsidRPr="00DC03C7">
        <w:rPr>
          <w:rFonts w:cstheme="minorHAnsi"/>
          <w:sz w:val="28"/>
          <w:szCs w:val="28"/>
        </w:rPr>
        <w:t xml:space="preserve">: </w:t>
      </w:r>
      <w:r w:rsidRPr="00DC03C7">
        <w:rPr>
          <w:rFonts w:cstheme="minorHAnsi"/>
          <w:sz w:val="28"/>
          <w:szCs w:val="28"/>
          <w:lang w:val="en-US"/>
        </w:rPr>
        <w:t>05/12/2025</w:t>
      </w:r>
    </w:p>
    <w:p w:rsidR="0015080C" w:rsidRPr="00DC03C7" w:rsidRDefault="0015080C" w:rsidP="0015080C">
      <w:pPr>
        <w:rPr>
          <w:rFonts w:cstheme="minorHAnsi"/>
          <w:sz w:val="28"/>
          <w:szCs w:val="28"/>
          <w:lang w:val="en-US"/>
        </w:rPr>
      </w:pPr>
    </w:p>
    <w:p w:rsidR="008C2265" w:rsidRPr="00DC03C7" w:rsidRDefault="008C2265">
      <w:pPr>
        <w:rPr>
          <w:rFonts w:cstheme="minorHAnsi"/>
        </w:rPr>
      </w:pPr>
    </w:p>
    <w:p w:rsidR="0015080C" w:rsidRPr="00DC03C7" w:rsidRDefault="0015080C">
      <w:pPr>
        <w:rPr>
          <w:rFonts w:cstheme="minorHAnsi"/>
        </w:rPr>
      </w:pPr>
    </w:p>
    <w:p w:rsidR="0015080C" w:rsidRPr="00DC03C7" w:rsidRDefault="0015080C">
      <w:pPr>
        <w:rPr>
          <w:rFonts w:cstheme="minorHAnsi"/>
        </w:rPr>
      </w:pPr>
    </w:p>
    <w:p w:rsidR="0015080C" w:rsidRPr="00DC03C7" w:rsidRDefault="0015080C">
      <w:pPr>
        <w:rPr>
          <w:rFonts w:cstheme="minorHAnsi"/>
        </w:rPr>
      </w:pPr>
    </w:p>
    <w:p w:rsidR="0015080C" w:rsidRPr="00DC03C7" w:rsidRDefault="0015080C">
      <w:pPr>
        <w:rPr>
          <w:rFonts w:cstheme="minorHAnsi"/>
        </w:rPr>
      </w:pPr>
    </w:p>
    <w:p w:rsidR="0015080C" w:rsidRPr="00DC03C7" w:rsidRDefault="0015080C">
      <w:pPr>
        <w:rPr>
          <w:rFonts w:cstheme="minorHAnsi"/>
          <w:b/>
          <w:color w:val="1F4E79" w:themeColor="accent1" w:themeShade="80"/>
          <w:sz w:val="36"/>
          <w:szCs w:val="36"/>
        </w:rPr>
      </w:pPr>
      <w:r w:rsidRPr="00DC03C7">
        <w:rPr>
          <w:rFonts w:cstheme="minorHAnsi"/>
          <w:b/>
          <w:color w:val="1F4E79" w:themeColor="accent1" w:themeShade="80"/>
          <w:sz w:val="36"/>
          <w:szCs w:val="36"/>
          <w:lang w:val="en-US"/>
        </w:rPr>
        <w:lastRenderedPageBreak/>
        <w:t>II.SECTION B</w:t>
      </w:r>
      <w:r w:rsidR="00786E65" w:rsidRPr="00DC03C7">
        <w:rPr>
          <w:rFonts w:cstheme="minorHAnsi"/>
          <w:b/>
          <w:color w:val="1F4E79" w:themeColor="accent1" w:themeShade="80"/>
          <w:sz w:val="36"/>
          <w:szCs w:val="36"/>
          <w:lang w:val="en-US"/>
        </w:rPr>
        <w:t xml:space="preserve"> </w:t>
      </w:r>
      <w:r w:rsidRPr="00DC03C7">
        <w:rPr>
          <w:rFonts w:cstheme="minorHAnsi"/>
          <w:b/>
          <w:color w:val="1F4E79" w:themeColor="accent1" w:themeShade="80"/>
          <w:sz w:val="36"/>
          <w:szCs w:val="36"/>
        </w:rPr>
        <w:t>– High-Level Requirements Analysis and MoSCoW Prioritisation</w:t>
      </w:r>
    </w:p>
    <w:p w:rsidR="00F87A02" w:rsidRPr="00DC03C7" w:rsidRDefault="00F87A02">
      <w:pPr>
        <w:rPr>
          <w:rFonts w:cstheme="minorHAnsi"/>
          <w:b/>
          <w:color w:val="1F4E79" w:themeColor="accent1" w:themeShade="80"/>
          <w:sz w:val="28"/>
          <w:szCs w:val="28"/>
        </w:rPr>
      </w:pPr>
      <w:r w:rsidRPr="00DC03C7">
        <w:rPr>
          <w:rFonts w:cstheme="minorHAnsi"/>
          <w:b/>
          <w:color w:val="1F4E79" w:themeColor="accent1" w:themeShade="80"/>
          <w:sz w:val="28"/>
          <w:szCs w:val="28"/>
        </w:rPr>
        <w:t>B1. Functional Requirements</w:t>
      </w:r>
    </w:p>
    <w:tbl>
      <w:tblPr>
        <w:tblW w:w="10260" w:type="dxa"/>
        <w:tblCellSpacing w:w="15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3550"/>
        <w:gridCol w:w="5850"/>
      </w:tblGrid>
      <w:tr w:rsidR="00786E65" w:rsidRPr="00786E65" w:rsidTr="00F87A02">
        <w:trPr>
          <w:tblHeader/>
          <w:tblCellSpacing w:w="15" w:type="dxa"/>
        </w:trPr>
        <w:tc>
          <w:tcPr>
            <w:tcW w:w="815" w:type="dxa"/>
            <w:shd w:val="clear" w:color="auto" w:fill="9CC2E5" w:themeFill="accent1" w:themeFillTint="99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No.</w:t>
            </w:r>
          </w:p>
        </w:tc>
        <w:tc>
          <w:tcPr>
            <w:tcW w:w="3520" w:type="dxa"/>
            <w:shd w:val="clear" w:color="auto" w:fill="9CC2E5" w:themeFill="accent1" w:themeFillTint="99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High-Level Functional Requirement</w:t>
            </w:r>
          </w:p>
        </w:tc>
        <w:tc>
          <w:tcPr>
            <w:tcW w:w="5805" w:type="dxa"/>
            <w:shd w:val="clear" w:color="auto" w:fill="9CC2E5" w:themeFill="accent1" w:themeFillTint="99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Justification</w:t>
            </w:r>
          </w:p>
        </w:tc>
      </w:tr>
      <w:tr w:rsidR="00786E65" w:rsidRPr="00786E65" w:rsidTr="00F87A02">
        <w:trPr>
          <w:tblCellSpacing w:w="15" w:type="dxa"/>
        </w:trPr>
        <w:tc>
          <w:tcPr>
            <w:tcW w:w="815" w:type="dxa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kern w:val="0"/>
                <w:lang w:val="en-US"/>
                <w14:ligatures w14:val="none"/>
              </w:rPr>
              <w:t>FR1</w:t>
            </w:r>
          </w:p>
        </w:tc>
        <w:tc>
          <w:tcPr>
            <w:tcW w:w="3520" w:type="dxa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kern w:val="0"/>
                <w:lang w:val="en-US"/>
                <w14:ligatures w14:val="none"/>
              </w:rPr>
              <w:t>User Account Management (System must allow users to create, update and delete accounts)</w:t>
            </w:r>
          </w:p>
        </w:tc>
        <w:tc>
          <w:tcPr>
            <w:tcW w:w="5805" w:type="dxa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kern w:val="0"/>
                <w:lang w:val="en-US"/>
                <w14:ligatures w14:val="none"/>
              </w:rPr>
              <w:t>Transcript shows customer representative stating customers should “create accounts … and update details” (GGL case study p.4). This supports personalised services and order history tracking (Sommerville, 2016).</w:t>
            </w:r>
          </w:p>
        </w:tc>
      </w:tr>
      <w:tr w:rsidR="00786E65" w:rsidRPr="00786E65" w:rsidTr="00F87A02">
        <w:trPr>
          <w:tblCellSpacing w:w="15" w:type="dxa"/>
        </w:trPr>
        <w:tc>
          <w:tcPr>
            <w:tcW w:w="815" w:type="dxa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kern w:val="0"/>
                <w:lang w:val="en-US"/>
                <w14:ligatures w14:val="none"/>
              </w:rPr>
              <w:t>FR2</w:t>
            </w:r>
          </w:p>
        </w:tc>
        <w:tc>
          <w:tcPr>
            <w:tcW w:w="3520" w:type="dxa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kern w:val="0"/>
                <w:lang w:val="en-US"/>
                <w14:ligatures w14:val="none"/>
              </w:rPr>
              <w:t>Online Ordering and Checkout</w:t>
            </w:r>
          </w:p>
        </w:tc>
        <w:tc>
          <w:tcPr>
            <w:tcW w:w="5805" w:type="dxa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kern w:val="0"/>
                <w:lang w:val="en-US"/>
                <w14:ligatures w14:val="none"/>
              </w:rPr>
              <w:t>CEO identified inefficient order-handling process; a digital ordering workflow will streamline operations and increase productivity (Pressman &amp; Maxim, 2020).</w:t>
            </w:r>
          </w:p>
        </w:tc>
      </w:tr>
      <w:tr w:rsidR="00786E65" w:rsidRPr="00786E65" w:rsidTr="00F87A02">
        <w:trPr>
          <w:tblCellSpacing w:w="15" w:type="dxa"/>
        </w:trPr>
        <w:tc>
          <w:tcPr>
            <w:tcW w:w="815" w:type="dxa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kern w:val="0"/>
                <w:lang w:val="en-US"/>
                <w14:ligatures w14:val="none"/>
              </w:rPr>
              <w:t>FR3</w:t>
            </w:r>
          </w:p>
        </w:tc>
        <w:tc>
          <w:tcPr>
            <w:tcW w:w="3520" w:type="dxa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kern w:val="0"/>
                <w:lang w:val="en-US"/>
                <w14:ligatures w14:val="none"/>
              </w:rPr>
              <w:t>Product Catalogue with Filtering and Search</w:t>
            </w:r>
          </w:p>
        </w:tc>
        <w:tc>
          <w:tcPr>
            <w:tcW w:w="5805" w:type="dxa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kern w:val="0"/>
                <w:lang w:val="en-US"/>
                <w14:ligatures w14:val="none"/>
              </w:rPr>
              <w:t>Enables customers to browse organic items efficiently, improving usability and sales conversion (Nielsen, 2012).</w:t>
            </w:r>
          </w:p>
        </w:tc>
      </w:tr>
      <w:tr w:rsidR="00786E65" w:rsidRPr="00786E65" w:rsidTr="00F87A02">
        <w:trPr>
          <w:tblCellSpacing w:w="15" w:type="dxa"/>
        </w:trPr>
        <w:tc>
          <w:tcPr>
            <w:tcW w:w="815" w:type="dxa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kern w:val="0"/>
                <w:lang w:val="en-US"/>
                <w14:ligatures w14:val="none"/>
              </w:rPr>
              <w:t>FR4</w:t>
            </w:r>
          </w:p>
        </w:tc>
        <w:tc>
          <w:tcPr>
            <w:tcW w:w="3520" w:type="dxa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kern w:val="0"/>
                <w:lang w:val="en-US"/>
                <w14:ligatures w14:val="none"/>
              </w:rPr>
              <w:t>Promotions and Discount Module</w:t>
            </w:r>
          </w:p>
        </w:tc>
        <w:tc>
          <w:tcPr>
            <w:tcW w:w="5805" w:type="dxa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kern w:val="0"/>
                <w:lang w:val="en-US"/>
                <w14:ligatures w14:val="none"/>
              </w:rPr>
              <w:t>Marketing Director requested a “page for promotions, offers and discounts”; supports customer engagement and repeat visits (Kotler &amp; Keller, 2016).</w:t>
            </w:r>
          </w:p>
        </w:tc>
      </w:tr>
      <w:tr w:rsidR="00786E65" w:rsidRPr="00786E65" w:rsidTr="00F87A02">
        <w:trPr>
          <w:tblCellSpacing w:w="15" w:type="dxa"/>
        </w:trPr>
        <w:tc>
          <w:tcPr>
            <w:tcW w:w="815" w:type="dxa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kern w:val="0"/>
                <w:lang w:val="en-US"/>
                <w14:ligatures w14:val="none"/>
              </w:rPr>
              <w:t>FR5</w:t>
            </w:r>
          </w:p>
        </w:tc>
        <w:tc>
          <w:tcPr>
            <w:tcW w:w="3520" w:type="dxa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kern w:val="0"/>
                <w:lang w:val="en-US"/>
                <w14:ligatures w14:val="none"/>
              </w:rPr>
              <w:t>Shopping Cart and Delivery Slot Scheduling</w:t>
            </w:r>
          </w:p>
        </w:tc>
        <w:tc>
          <w:tcPr>
            <w:tcW w:w="5805" w:type="dxa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kern w:val="0"/>
                <w:lang w:val="en-US"/>
                <w14:ligatures w14:val="none"/>
              </w:rPr>
              <w:t>Customers should modify cart and select delivery time slots — a core e-commerce functionality that reduces abandoned carts (Marquez et al., 2019).</w:t>
            </w:r>
          </w:p>
        </w:tc>
      </w:tr>
      <w:tr w:rsidR="00786E65" w:rsidRPr="00786E65" w:rsidTr="00F87A02">
        <w:trPr>
          <w:tblCellSpacing w:w="15" w:type="dxa"/>
        </w:trPr>
        <w:tc>
          <w:tcPr>
            <w:tcW w:w="815" w:type="dxa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kern w:val="0"/>
                <w:lang w:val="en-US"/>
                <w14:ligatures w14:val="none"/>
              </w:rPr>
              <w:t>FR6</w:t>
            </w:r>
          </w:p>
        </w:tc>
        <w:tc>
          <w:tcPr>
            <w:tcW w:w="3520" w:type="dxa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kern w:val="0"/>
                <w:lang w:val="en-US"/>
                <w14:ligatures w14:val="none"/>
              </w:rPr>
              <w:t>Educational Blog Section</w:t>
            </w:r>
          </w:p>
        </w:tc>
        <w:tc>
          <w:tcPr>
            <w:tcW w:w="5805" w:type="dxa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kern w:val="0"/>
                <w:lang w:val="en-US"/>
                <w14:ligatures w14:val="none"/>
              </w:rPr>
              <w:t>Education Coordinator requested a “blog section to educate customers about sustainability”; aligns with GGL’s mission and CSR goals (Carrol &amp; Buchholtz, 2021).</w:t>
            </w:r>
          </w:p>
        </w:tc>
      </w:tr>
      <w:tr w:rsidR="00786E65" w:rsidRPr="00786E65" w:rsidTr="00F87A02">
        <w:trPr>
          <w:tblCellSpacing w:w="15" w:type="dxa"/>
        </w:trPr>
        <w:tc>
          <w:tcPr>
            <w:tcW w:w="815" w:type="dxa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kern w:val="0"/>
                <w:lang w:val="en-US"/>
                <w14:ligatures w14:val="none"/>
              </w:rPr>
              <w:t>FR7</w:t>
            </w:r>
          </w:p>
        </w:tc>
        <w:tc>
          <w:tcPr>
            <w:tcW w:w="3520" w:type="dxa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kern w:val="0"/>
                <w:lang w:val="en-US"/>
                <w14:ligatures w14:val="none"/>
              </w:rPr>
              <w:t>Integration with External Logistics Systems</w:t>
            </w:r>
          </w:p>
        </w:tc>
        <w:tc>
          <w:tcPr>
            <w:tcW w:w="5805" w:type="dxa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kern w:val="0"/>
                <w:lang w:val="en-US"/>
                <w14:ligatures w14:val="none"/>
              </w:rPr>
              <w:t>Operations Manager highlighted the need to “integrate with external logistics platforms to optimise delivery routes”; essential for efficiency and sustainability (Christopher, 2016).</w:t>
            </w:r>
          </w:p>
        </w:tc>
      </w:tr>
      <w:tr w:rsidR="00786E65" w:rsidRPr="00786E65" w:rsidTr="00F87A02">
        <w:trPr>
          <w:tblCellSpacing w:w="15" w:type="dxa"/>
        </w:trPr>
        <w:tc>
          <w:tcPr>
            <w:tcW w:w="815" w:type="dxa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kern w:val="0"/>
                <w:lang w:val="en-US"/>
                <w14:ligatures w14:val="none"/>
              </w:rPr>
              <w:t>FR8</w:t>
            </w:r>
          </w:p>
        </w:tc>
        <w:tc>
          <w:tcPr>
            <w:tcW w:w="3520" w:type="dxa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kern w:val="0"/>
                <w:lang w:val="en-US"/>
                <w14:ligatures w14:val="none"/>
              </w:rPr>
              <w:t>GDPR-Compliant Data Management and Consent System</w:t>
            </w:r>
          </w:p>
        </w:tc>
        <w:tc>
          <w:tcPr>
            <w:tcW w:w="5805" w:type="dxa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kern w:val="0"/>
                <w:lang w:val="en-US"/>
                <w14:ligatures w14:val="none"/>
              </w:rPr>
              <w:t>Finance Director emphasised compliance with GDPR; a feature for user consent and data protection is mandatory (Information Commissioner’s Office [ICO], 2023).</w:t>
            </w:r>
          </w:p>
        </w:tc>
      </w:tr>
      <w:tr w:rsidR="00786E65" w:rsidRPr="00786E65" w:rsidTr="00F87A02">
        <w:trPr>
          <w:tblCellSpacing w:w="15" w:type="dxa"/>
        </w:trPr>
        <w:tc>
          <w:tcPr>
            <w:tcW w:w="815" w:type="dxa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kern w:val="0"/>
                <w:lang w:val="en-US"/>
                <w14:ligatures w14:val="none"/>
              </w:rPr>
              <w:t>FR9</w:t>
            </w:r>
          </w:p>
        </w:tc>
        <w:tc>
          <w:tcPr>
            <w:tcW w:w="3520" w:type="dxa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kern w:val="0"/>
                <w:lang w:val="en-US"/>
                <w14:ligatures w14:val="none"/>
              </w:rPr>
              <w:t>Sustainability Dashboard</w:t>
            </w:r>
          </w:p>
        </w:tc>
        <w:tc>
          <w:tcPr>
            <w:tcW w:w="5805" w:type="dxa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kern w:val="0"/>
                <w:lang w:val="en-US"/>
                <w14:ligatures w14:val="none"/>
              </w:rPr>
              <w:t>Operations Manager mentioned a “green workspace initiative”; dashboard can track and display sustainability metrics supporting branding (Elkington, 1998).</w:t>
            </w:r>
          </w:p>
        </w:tc>
      </w:tr>
      <w:tr w:rsidR="00786E65" w:rsidRPr="00786E65" w:rsidTr="00F87A02">
        <w:trPr>
          <w:tblCellSpacing w:w="15" w:type="dxa"/>
        </w:trPr>
        <w:tc>
          <w:tcPr>
            <w:tcW w:w="815" w:type="dxa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kern w:val="0"/>
                <w:lang w:val="en-US"/>
                <w14:ligatures w14:val="none"/>
              </w:rPr>
              <w:t>FR10</w:t>
            </w:r>
          </w:p>
        </w:tc>
        <w:tc>
          <w:tcPr>
            <w:tcW w:w="3520" w:type="dxa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kern w:val="0"/>
                <w:lang w:val="en-US"/>
                <w14:ligatures w14:val="none"/>
              </w:rPr>
              <w:t>Admin Content Management Portal</w:t>
            </w:r>
          </w:p>
        </w:tc>
        <w:tc>
          <w:tcPr>
            <w:tcW w:w="5805" w:type="dxa"/>
            <w:vAlign w:val="center"/>
            <w:hideMark/>
          </w:tcPr>
          <w:p w:rsidR="00786E65" w:rsidRPr="00786E65" w:rsidRDefault="00786E65" w:rsidP="00786E65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786E65">
              <w:rPr>
                <w:rFonts w:eastAsia="Times New Roman" w:cstheme="minorHAnsi"/>
                <w:kern w:val="0"/>
                <w:lang w:val="en-US"/>
                <w14:ligatures w14:val="none"/>
              </w:rPr>
              <w:t>Allows staff to update products, promotions and blog posts without developer intervention — improves Agile responsiveness (Poppendieck &amp; Cusumano, 2012).</w:t>
            </w:r>
          </w:p>
        </w:tc>
      </w:tr>
    </w:tbl>
    <w:p w:rsidR="00786E65" w:rsidRPr="00DC03C7" w:rsidRDefault="00786E65">
      <w:pPr>
        <w:rPr>
          <w:rFonts w:cstheme="minorHAnsi"/>
          <w:lang w:val="en-US"/>
        </w:rPr>
      </w:pPr>
    </w:p>
    <w:p w:rsidR="0015080C" w:rsidRPr="00DC03C7" w:rsidRDefault="00F87A02">
      <w:pPr>
        <w:rPr>
          <w:rFonts w:cstheme="minorHAnsi"/>
          <w:b/>
          <w:color w:val="1F4E79" w:themeColor="accent1" w:themeShade="80"/>
          <w:sz w:val="32"/>
          <w:szCs w:val="32"/>
        </w:rPr>
      </w:pPr>
      <w:r w:rsidRPr="00DC03C7">
        <w:rPr>
          <w:rFonts w:cstheme="minorHAnsi"/>
          <w:b/>
          <w:color w:val="1F4E79" w:themeColor="accent1" w:themeShade="80"/>
          <w:sz w:val="32"/>
          <w:szCs w:val="32"/>
        </w:rPr>
        <w:t>B2. Non-Functional and Inaccurate Requirements</w:t>
      </w:r>
    </w:p>
    <w:p w:rsidR="00D9221B" w:rsidRPr="00DC03C7" w:rsidRDefault="00D9221B">
      <w:pPr>
        <w:rPr>
          <w:rFonts w:cstheme="minorHAnsi"/>
          <w:b/>
          <w:color w:val="1F4E79" w:themeColor="accent1" w:themeShade="80"/>
          <w:sz w:val="28"/>
          <w:szCs w:val="28"/>
        </w:rPr>
      </w:pPr>
      <w:r w:rsidRPr="00DC03C7">
        <w:rPr>
          <w:rFonts w:cstheme="minorHAnsi"/>
          <w:b/>
          <w:color w:val="1F4E79" w:themeColor="accent1" w:themeShade="80"/>
          <w:sz w:val="28"/>
          <w:szCs w:val="28"/>
        </w:rPr>
        <w:t>(a) Five Non-Functional Requirements</w:t>
      </w:r>
    </w:p>
    <w:tbl>
      <w:tblPr>
        <w:tblW w:w="10260" w:type="dxa"/>
        <w:tblCellSpacing w:w="15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3600"/>
        <w:gridCol w:w="5850"/>
      </w:tblGrid>
      <w:tr w:rsidR="00F87A02" w:rsidRPr="00F87A02" w:rsidTr="00D9221B">
        <w:trPr>
          <w:trHeight w:val="682"/>
          <w:tblHeader/>
          <w:tblCellSpacing w:w="15" w:type="dxa"/>
        </w:trPr>
        <w:tc>
          <w:tcPr>
            <w:tcW w:w="765" w:type="dxa"/>
            <w:shd w:val="clear" w:color="auto" w:fill="9CC2E5" w:themeFill="accent1" w:themeFillTint="99"/>
            <w:vAlign w:val="center"/>
            <w:hideMark/>
          </w:tcPr>
          <w:p w:rsidR="00F87A02" w:rsidRPr="00F87A02" w:rsidRDefault="00F87A02" w:rsidP="00D9221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F87A02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No.</w:t>
            </w:r>
          </w:p>
        </w:tc>
        <w:tc>
          <w:tcPr>
            <w:tcW w:w="3570" w:type="dxa"/>
            <w:shd w:val="clear" w:color="auto" w:fill="9CC2E5" w:themeFill="accent1" w:themeFillTint="99"/>
            <w:vAlign w:val="center"/>
            <w:hideMark/>
          </w:tcPr>
          <w:p w:rsidR="00F87A02" w:rsidRPr="00F87A02" w:rsidRDefault="00F87A02" w:rsidP="00D9221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F87A02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Non-Functional Requirement</w:t>
            </w:r>
          </w:p>
        </w:tc>
        <w:tc>
          <w:tcPr>
            <w:tcW w:w="5805" w:type="dxa"/>
            <w:shd w:val="clear" w:color="auto" w:fill="9CC2E5" w:themeFill="accent1" w:themeFillTint="99"/>
            <w:vAlign w:val="center"/>
            <w:hideMark/>
          </w:tcPr>
          <w:p w:rsidR="00F87A02" w:rsidRPr="00F87A02" w:rsidRDefault="00F87A02" w:rsidP="00D9221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F87A02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Justification</w:t>
            </w:r>
          </w:p>
        </w:tc>
      </w:tr>
      <w:tr w:rsidR="00F87A02" w:rsidRPr="00F87A02" w:rsidTr="00D9221B">
        <w:trPr>
          <w:tblCellSpacing w:w="15" w:type="dxa"/>
        </w:trPr>
        <w:tc>
          <w:tcPr>
            <w:tcW w:w="765" w:type="dxa"/>
            <w:vAlign w:val="center"/>
            <w:hideMark/>
          </w:tcPr>
          <w:p w:rsidR="00F87A02" w:rsidRPr="00F87A02" w:rsidRDefault="00F87A02" w:rsidP="00F87A02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F87A02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NFR1</w:t>
            </w:r>
          </w:p>
        </w:tc>
        <w:tc>
          <w:tcPr>
            <w:tcW w:w="3570" w:type="dxa"/>
            <w:vAlign w:val="center"/>
            <w:hideMark/>
          </w:tcPr>
          <w:p w:rsidR="00F87A02" w:rsidRPr="00F87A02" w:rsidRDefault="00F87A02" w:rsidP="00F87A0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F87A02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Performance – System should load within 5 seconds on modern devices</w:t>
            </w:r>
          </w:p>
        </w:tc>
        <w:tc>
          <w:tcPr>
            <w:tcW w:w="5805" w:type="dxa"/>
            <w:vAlign w:val="center"/>
            <w:hideMark/>
          </w:tcPr>
          <w:p w:rsidR="00F87A02" w:rsidRPr="00F87A02" w:rsidRDefault="00F87A02" w:rsidP="00F87A0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F87A02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Explicitly stated by Operations Manager; aligns with ISO/IEC 25010 performance efficiency criteria.</w:t>
            </w:r>
          </w:p>
        </w:tc>
      </w:tr>
      <w:tr w:rsidR="00F87A02" w:rsidRPr="00F87A02" w:rsidTr="00D9221B">
        <w:trPr>
          <w:tblCellSpacing w:w="15" w:type="dxa"/>
        </w:trPr>
        <w:tc>
          <w:tcPr>
            <w:tcW w:w="765" w:type="dxa"/>
            <w:vAlign w:val="center"/>
            <w:hideMark/>
          </w:tcPr>
          <w:p w:rsidR="00F87A02" w:rsidRPr="00F87A02" w:rsidRDefault="00F87A02" w:rsidP="00F87A02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F87A02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NFR2</w:t>
            </w:r>
          </w:p>
        </w:tc>
        <w:tc>
          <w:tcPr>
            <w:tcW w:w="3570" w:type="dxa"/>
            <w:vAlign w:val="center"/>
            <w:hideMark/>
          </w:tcPr>
          <w:p w:rsidR="00F87A02" w:rsidRPr="00F87A02" w:rsidRDefault="00F87A02" w:rsidP="00F87A0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F87A02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Scalability – Handle 30 % traffic increase and support unlimited users</w:t>
            </w:r>
          </w:p>
        </w:tc>
        <w:tc>
          <w:tcPr>
            <w:tcW w:w="5805" w:type="dxa"/>
            <w:vAlign w:val="center"/>
            <w:hideMark/>
          </w:tcPr>
          <w:p w:rsidR="00F87A02" w:rsidRPr="00F87A02" w:rsidRDefault="00F87A02" w:rsidP="00F87A0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F87A02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IS department requirement; ensures future growth and cloud readiness (Bass et al., 2012).</w:t>
            </w:r>
          </w:p>
        </w:tc>
      </w:tr>
      <w:tr w:rsidR="00F87A02" w:rsidRPr="00F87A02" w:rsidTr="00D9221B">
        <w:trPr>
          <w:tblCellSpacing w:w="15" w:type="dxa"/>
        </w:trPr>
        <w:tc>
          <w:tcPr>
            <w:tcW w:w="765" w:type="dxa"/>
            <w:vAlign w:val="center"/>
            <w:hideMark/>
          </w:tcPr>
          <w:p w:rsidR="00F87A02" w:rsidRPr="00F87A02" w:rsidRDefault="00F87A02" w:rsidP="00F87A02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F87A02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NFR3</w:t>
            </w:r>
          </w:p>
        </w:tc>
        <w:tc>
          <w:tcPr>
            <w:tcW w:w="3570" w:type="dxa"/>
            <w:vAlign w:val="center"/>
            <w:hideMark/>
          </w:tcPr>
          <w:p w:rsidR="00F87A02" w:rsidRPr="00F87A02" w:rsidRDefault="00F87A02" w:rsidP="00F87A0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F87A02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Security – End-to-end encryption and role-based access control</w:t>
            </w:r>
          </w:p>
        </w:tc>
        <w:tc>
          <w:tcPr>
            <w:tcW w:w="5805" w:type="dxa"/>
            <w:vAlign w:val="center"/>
            <w:hideMark/>
          </w:tcPr>
          <w:p w:rsidR="00F87A02" w:rsidRPr="00F87A02" w:rsidRDefault="00F87A02" w:rsidP="00F87A0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F87A02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Mitigates data-breach risk and meets GDPR Articles 5 &amp; 32 (ICO, 2023).</w:t>
            </w:r>
          </w:p>
        </w:tc>
      </w:tr>
      <w:tr w:rsidR="00F87A02" w:rsidRPr="00F87A02" w:rsidTr="00D9221B">
        <w:trPr>
          <w:tblCellSpacing w:w="15" w:type="dxa"/>
        </w:trPr>
        <w:tc>
          <w:tcPr>
            <w:tcW w:w="765" w:type="dxa"/>
            <w:vAlign w:val="center"/>
            <w:hideMark/>
          </w:tcPr>
          <w:p w:rsidR="00F87A02" w:rsidRPr="00F87A02" w:rsidRDefault="00F87A02" w:rsidP="00F87A02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F87A02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NFR4</w:t>
            </w:r>
          </w:p>
        </w:tc>
        <w:tc>
          <w:tcPr>
            <w:tcW w:w="3570" w:type="dxa"/>
            <w:vAlign w:val="center"/>
            <w:hideMark/>
          </w:tcPr>
          <w:p w:rsidR="00F87A02" w:rsidRPr="00F87A02" w:rsidRDefault="00F87A02" w:rsidP="00F87A0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F87A02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Usability – Intuitive navigation and accessibility for WCAG 2.1 AA</w:t>
            </w:r>
          </w:p>
        </w:tc>
        <w:tc>
          <w:tcPr>
            <w:tcW w:w="5805" w:type="dxa"/>
            <w:vAlign w:val="center"/>
            <w:hideMark/>
          </w:tcPr>
          <w:p w:rsidR="00F87A02" w:rsidRPr="00F87A02" w:rsidRDefault="00F87A02" w:rsidP="00F87A0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F87A02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Improves customer experience and inclusivity (Nielsen, 2012).</w:t>
            </w:r>
          </w:p>
        </w:tc>
      </w:tr>
      <w:tr w:rsidR="00F87A02" w:rsidRPr="00F87A02" w:rsidTr="00D9221B">
        <w:trPr>
          <w:tblCellSpacing w:w="15" w:type="dxa"/>
        </w:trPr>
        <w:tc>
          <w:tcPr>
            <w:tcW w:w="765" w:type="dxa"/>
            <w:vAlign w:val="center"/>
            <w:hideMark/>
          </w:tcPr>
          <w:p w:rsidR="00F87A02" w:rsidRPr="00F87A02" w:rsidRDefault="00F87A02" w:rsidP="00F87A02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F87A02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NFR5</w:t>
            </w:r>
          </w:p>
        </w:tc>
        <w:tc>
          <w:tcPr>
            <w:tcW w:w="3570" w:type="dxa"/>
            <w:vAlign w:val="center"/>
            <w:hideMark/>
          </w:tcPr>
          <w:p w:rsidR="00F87A02" w:rsidRPr="00F87A02" w:rsidRDefault="00F87A02" w:rsidP="00F87A0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F87A02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Reliability – 99.5 % uptime and automated backup</w:t>
            </w:r>
          </w:p>
        </w:tc>
        <w:tc>
          <w:tcPr>
            <w:tcW w:w="5805" w:type="dxa"/>
            <w:vAlign w:val="center"/>
            <w:hideMark/>
          </w:tcPr>
          <w:p w:rsidR="00F87A02" w:rsidRPr="00F87A02" w:rsidRDefault="00F87A02" w:rsidP="00F87A0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F87A02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Critical for 24/7 e-commerce operations (Pfleging et al., 2020).</w:t>
            </w:r>
          </w:p>
        </w:tc>
      </w:tr>
    </w:tbl>
    <w:p w:rsidR="00F87A02" w:rsidRPr="00DC03C7" w:rsidRDefault="00F87A02">
      <w:pPr>
        <w:rPr>
          <w:rFonts w:cstheme="minorHAnsi"/>
          <w:b/>
          <w:color w:val="1F4E79" w:themeColor="accent1" w:themeShade="80"/>
          <w:sz w:val="28"/>
          <w:szCs w:val="28"/>
          <w:lang w:val="en-US"/>
        </w:rPr>
      </w:pPr>
    </w:p>
    <w:p w:rsidR="00D9221B" w:rsidRPr="00DC03C7" w:rsidRDefault="00D9221B">
      <w:pPr>
        <w:rPr>
          <w:rFonts w:cstheme="minorHAnsi"/>
          <w:b/>
          <w:color w:val="1F4E79" w:themeColor="accent1" w:themeShade="80"/>
          <w:sz w:val="28"/>
          <w:szCs w:val="28"/>
        </w:rPr>
      </w:pPr>
      <w:r w:rsidRPr="00DC03C7">
        <w:rPr>
          <w:rFonts w:cstheme="minorHAnsi"/>
          <w:b/>
          <w:color w:val="1F4E79" w:themeColor="accent1" w:themeShade="80"/>
          <w:sz w:val="28"/>
          <w:szCs w:val="28"/>
        </w:rPr>
        <w:t>(b) Three Inaccurate / Unrealistic Requirements</w:t>
      </w:r>
    </w:p>
    <w:tbl>
      <w:tblPr>
        <w:tblW w:w="10260" w:type="dxa"/>
        <w:tblCellSpacing w:w="15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3570"/>
        <w:gridCol w:w="5880"/>
      </w:tblGrid>
      <w:tr w:rsidR="00D9221B" w:rsidRPr="00D9221B" w:rsidTr="008C1567">
        <w:trPr>
          <w:trHeight w:val="646"/>
          <w:tblHeader/>
          <w:tblCellSpacing w:w="15" w:type="dxa"/>
        </w:trPr>
        <w:tc>
          <w:tcPr>
            <w:tcW w:w="765" w:type="dxa"/>
            <w:shd w:val="clear" w:color="auto" w:fill="9CC2E5" w:themeFill="accent1" w:themeFillTint="99"/>
            <w:vAlign w:val="center"/>
            <w:hideMark/>
          </w:tcPr>
          <w:p w:rsidR="00D9221B" w:rsidRPr="00D9221B" w:rsidRDefault="00D9221B" w:rsidP="00D9221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D9221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No.</w:t>
            </w:r>
          </w:p>
        </w:tc>
        <w:tc>
          <w:tcPr>
            <w:tcW w:w="3540" w:type="dxa"/>
            <w:shd w:val="clear" w:color="auto" w:fill="9CC2E5" w:themeFill="accent1" w:themeFillTint="99"/>
            <w:vAlign w:val="center"/>
            <w:hideMark/>
          </w:tcPr>
          <w:p w:rsidR="00D9221B" w:rsidRPr="00D9221B" w:rsidRDefault="00D9221B" w:rsidP="00D9221B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D9221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Inaccurate Requirement</w:t>
            </w:r>
          </w:p>
        </w:tc>
        <w:tc>
          <w:tcPr>
            <w:tcW w:w="5835" w:type="dxa"/>
            <w:shd w:val="clear" w:color="auto" w:fill="9CC2E5" w:themeFill="accent1" w:themeFillTint="99"/>
            <w:vAlign w:val="center"/>
            <w:hideMark/>
          </w:tcPr>
          <w:p w:rsidR="00D9221B" w:rsidRPr="00D9221B" w:rsidRDefault="00D9221B" w:rsidP="00D9221B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D9221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Reason for Inaccuracy</w:t>
            </w:r>
          </w:p>
        </w:tc>
      </w:tr>
      <w:tr w:rsidR="00D9221B" w:rsidRPr="00D9221B" w:rsidTr="008C1567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9221B" w:rsidRPr="00D9221B" w:rsidRDefault="00D9221B" w:rsidP="00D9221B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D9221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IR1</w:t>
            </w:r>
          </w:p>
        </w:tc>
        <w:tc>
          <w:tcPr>
            <w:tcW w:w="3540" w:type="dxa"/>
            <w:vAlign w:val="center"/>
            <w:hideMark/>
          </w:tcPr>
          <w:p w:rsidR="00D9221B" w:rsidRPr="00D9221B" w:rsidRDefault="00D9221B" w:rsidP="00D9221B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D9221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Include a feature for virtual celebrations (e.g., CEO’s birthday)</w:t>
            </w:r>
          </w:p>
        </w:tc>
        <w:tc>
          <w:tcPr>
            <w:tcW w:w="5835" w:type="dxa"/>
            <w:vAlign w:val="center"/>
            <w:hideMark/>
          </w:tcPr>
          <w:p w:rsidR="00D9221B" w:rsidRPr="00D9221B" w:rsidRDefault="00D9221B" w:rsidP="00D9221B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D9221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Non-business-critical and not aligned with system objectives or ROI (Pressman &amp; Maxim, 2020).</w:t>
            </w:r>
          </w:p>
        </w:tc>
      </w:tr>
      <w:tr w:rsidR="00D9221B" w:rsidRPr="00D9221B" w:rsidTr="008C1567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9221B" w:rsidRPr="00D9221B" w:rsidRDefault="00D9221B" w:rsidP="00D9221B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D9221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IR2</w:t>
            </w:r>
          </w:p>
        </w:tc>
        <w:tc>
          <w:tcPr>
            <w:tcW w:w="3540" w:type="dxa"/>
            <w:vAlign w:val="center"/>
            <w:hideMark/>
          </w:tcPr>
          <w:p w:rsidR="00D9221B" w:rsidRPr="00D9221B" w:rsidRDefault="00D9221B" w:rsidP="00D9221B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D9221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Adopt pet-friendly policies in the website design</w:t>
            </w:r>
          </w:p>
        </w:tc>
        <w:tc>
          <w:tcPr>
            <w:tcW w:w="5835" w:type="dxa"/>
            <w:vAlign w:val="center"/>
            <w:hideMark/>
          </w:tcPr>
          <w:p w:rsidR="00D9221B" w:rsidRPr="00D9221B" w:rsidRDefault="00D9221B" w:rsidP="00D9221B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D9221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Cultural or HR policy issue irrelevant to IT system scope.</w:t>
            </w:r>
          </w:p>
        </w:tc>
      </w:tr>
      <w:tr w:rsidR="00D9221B" w:rsidRPr="00D9221B" w:rsidTr="008C1567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9221B" w:rsidRPr="00D9221B" w:rsidRDefault="00D9221B" w:rsidP="00D9221B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D9221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IR3</w:t>
            </w:r>
          </w:p>
        </w:tc>
        <w:tc>
          <w:tcPr>
            <w:tcW w:w="3540" w:type="dxa"/>
            <w:vAlign w:val="center"/>
            <w:hideMark/>
          </w:tcPr>
          <w:p w:rsidR="00D9221B" w:rsidRPr="00D9221B" w:rsidRDefault="00D9221B" w:rsidP="00D9221B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D9221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Replace finance system prior to website development</w:t>
            </w:r>
          </w:p>
        </w:tc>
        <w:tc>
          <w:tcPr>
            <w:tcW w:w="5835" w:type="dxa"/>
            <w:vAlign w:val="center"/>
            <w:hideMark/>
          </w:tcPr>
          <w:p w:rsidR="00D9221B" w:rsidRPr="00D9221B" w:rsidRDefault="00D9221B" w:rsidP="00D9221B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D9221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Outside project scope and budget constraints — change control needed (Sommerville, 2016).</w:t>
            </w:r>
          </w:p>
        </w:tc>
      </w:tr>
    </w:tbl>
    <w:p w:rsidR="00D9221B" w:rsidRPr="00DC03C7" w:rsidRDefault="00D9221B">
      <w:pPr>
        <w:rPr>
          <w:rFonts w:cstheme="minorHAnsi"/>
          <w:lang w:val="en-US"/>
        </w:rPr>
      </w:pPr>
    </w:p>
    <w:p w:rsidR="008C1567" w:rsidRPr="00DC03C7" w:rsidRDefault="008C1567">
      <w:pPr>
        <w:rPr>
          <w:rFonts w:cstheme="minorHAnsi"/>
          <w:lang w:val="en-US"/>
        </w:rPr>
      </w:pPr>
    </w:p>
    <w:p w:rsidR="008C1567" w:rsidRPr="00DC03C7" w:rsidRDefault="008C1567">
      <w:pPr>
        <w:rPr>
          <w:rFonts w:cstheme="minorHAnsi"/>
          <w:b/>
          <w:color w:val="1F4E79" w:themeColor="accent1" w:themeShade="80"/>
          <w:sz w:val="32"/>
          <w:szCs w:val="32"/>
        </w:rPr>
      </w:pPr>
      <w:r w:rsidRPr="00DC03C7">
        <w:rPr>
          <w:rFonts w:cstheme="minorHAnsi"/>
          <w:b/>
          <w:color w:val="1F4E79" w:themeColor="accent1" w:themeShade="80"/>
          <w:sz w:val="32"/>
          <w:szCs w:val="32"/>
        </w:rPr>
        <w:t>B3. MoSCoW Prioritisation</w:t>
      </w:r>
    </w:p>
    <w:p w:rsidR="008C1567" w:rsidRPr="00DC03C7" w:rsidRDefault="008C1567" w:rsidP="008C1567">
      <w:pPr>
        <w:pStyle w:val="NormalWeb"/>
        <w:rPr>
          <w:rFonts w:asciiTheme="minorHAnsi" w:hAnsiTheme="minorHAnsi" w:cstheme="minorHAnsi"/>
        </w:rPr>
      </w:pPr>
      <w:r w:rsidRPr="00DC03C7">
        <w:rPr>
          <w:rStyle w:val="Strong"/>
          <w:rFonts w:asciiTheme="minorHAnsi" w:hAnsiTheme="minorHAnsi" w:cstheme="minorHAnsi"/>
        </w:rPr>
        <w:t>MoSCoW Categories:</w:t>
      </w:r>
    </w:p>
    <w:p w:rsidR="008C1567" w:rsidRPr="00DC03C7" w:rsidRDefault="008C1567" w:rsidP="008C156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DC03C7">
        <w:rPr>
          <w:rStyle w:val="Strong"/>
          <w:rFonts w:asciiTheme="minorHAnsi" w:hAnsiTheme="minorHAnsi" w:cstheme="minorHAnsi"/>
        </w:rPr>
        <w:t>Must Have</w:t>
      </w:r>
      <w:r w:rsidRPr="00DC03C7">
        <w:rPr>
          <w:rFonts w:asciiTheme="minorHAnsi" w:hAnsiTheme="minorHAnsi" w:cstheme="minorHAnsi"/>
        </w:rPr>
        <w:t xml:space="preserve"> – Critical for minimum viable product (MVP)</w:t>
      </w:r>
    </w:p>
    <w:p w:rsidR="008C1567" w:rsidRPr="00DC03C7" w:rsidRDefault="008C1567" w:rsidP="008C156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DC03C7">
        <w:rPr>
          <w:rStyle w:val="Strong"/>
          <w:rFonts w:asciiTheme="minorHAnsi" w:hAnsiTheme="minorHAnsi" w:cstheme="minorHAnsi"/>
        </w:rPr>
        <w:t>Should Have</w:t>
      </w:r>
      <w:r w:rsidRPr="00DC03C7">
        <w:rPr>
          <w:rFonts w:asciiTheme="minorHAnsi" w:hAnsiTheme="minorHAnsi" w:cstheme="minorHAnsi"/>
        </w:rPr>
        <w:t xml:space="preserve"> – Important but workarounds exist</w:t>
      </w:r>
    </w:p>
    <w:p w:rsidR="008C1567" w:rsidRPr="00DC03C7" w:rsidRDefault="008C1567" w:rsidP="008C156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DC03C7">
        <w:rPr>
          <w:rStyle w:val="Strong"/>
          <w:rFonts w:asciiTheme="minorHAnsi" w:hAnsiTheme="minorHAnsi" w:cstheme="minorHAnsi"/>
        </w:rPr>
        <w:t>Could Have</w:t>
      </w:r>
      <w:r w:rsidRPr="00DC03C7">
        <w:rPr>
          <w:rFonts w:asciiTheme="minorHAnsi" w:hAnsiTheme="minorHAnsi" w:cstheme="minorHAnsi"/>
        </w:rPr>
        <w:t xml:space="preserve"> – Desirable enhancements that add value</w:t>
      </w:r>
    </w:p>
    <w:p w:rsidR="008C1567" w:rsidRPr="00DC03C7" w:rsidRDefault="008C1567" w:rsidP="008C156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DC03C7">
        <w:rPr>
          <w:rStyle w:val="Strong"/>
          <w:rFonts w:asciiTheme="minorHAnsi" w:hAnsiTheme="minorHAnsi" w:cstheme="minorHAnsi"/>
        </w:rPr>
        <w:t>Won’t Have (for now)</w:t>
      </w:r>
      <w:r w:rsidRPr="00DC03C7">
        <w:rPr>
          <w:rFonts w:asciiTheme="minorHAnsi" w:hAnsiTheme="minorHAnsi" w:cstheme="minorHAnsi"/>
        </w:rPr>
        <w:t xml:space="preserve"> – Deferred or out-of-scope</w:t>
      </w:r>
    </w:p>
    <w:tbl>
      <w:tblPr>
        <w:tblW w:w="10260" w:type="dxa"/>
        <w:tblCellSpacing w:w="15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3552"/>
        <w:gridCol w:w="4710"/>
      </w:tblGrid>
      <w:tr w:rsidR="008C1567" w:rsidRPr="008C1567" w:rsidTr="00FC16C7">
        <w:trPr>
          <w:trHeight w:val="700"/>
          <w:tblHeader/>
          <w:tblCellSpacing w:w="15" w:type="dxa"/>
        </w:trPr>
        <w:tc>
          <w:tcPr>
            <w:tcW w:w="1953" w:type="dxa"/>
            <w:shd w:val="clear" w:color="auto" w:fill="9CC2E5" w:themeFill="accent1" w:themeFillTint="99"/>
            <w:vAlign w:val="center"/>
            <w:hideMark/>
          </w:tcPr>
          <w:p w:rsidR="008C1567" w:rsidRPr="008C1567" w:rsidRDefault="008C1567" w:rsidP="00FC16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C1567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Priority</w:t>
            </w:r>
          </w:p>
        </w:tc>
        <w:tc>
          <w:tcPr>
            <w:tcW w:w="0" w:type="auto"/>
            <w:shd w:val="clear" w:color="auto" w:fill="9CC2E5" w:themeFill="accent1" w:themeFillTint="99"/>
            <w:vAlign w:val="center"/>
            <w:hideMark/>
          </w:tcPr>
          <w:p w:rsidR="008C1567" w:rsidRPr="008C1567" w:rsidRDefault="008C1567" w:rsidP="00FC16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C1567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Functional Requirement</w:t>
            </w:r>
          </w:p>
        </w:tc>
        <w:tc>
          <w:tcPr>
            <w:tcW w:w="4665" w:type="dxa"/>
            <w:shd w:val="clear" w:color="auto" w:fill="9CC2E5" w:themeFill="accent1" w:themeFillTint="99"/>
            <w:vAlign w:val="center"/>
            <w:hideMark/>
          </w:tcPr>
          <w:p w:rsidR="008C1567" w:rsidRPr="008C1567" w:rsidRDefault="008C1567" w:rsidP="00FC16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C1567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Rationale</w:t>
            </w:r>
          </w:p>
        </w:tc>
      </w:tr>
      <w:tr w:rsidR="00FC16C7" w:rsidRPr="00DC03C7" w:rsidTr="00FC16C7">
        <w:trPr>
          <w:tblCellSpacing w:w="15" w:type="dxa"/>
        </w:trPr>
        <w:tc>
          <w:tcPr>
            <w:tcW w:w="1953" w:type="dxa"/>
            <w:vMerge w:val="restart"/>
            <w:vAlign w:val="center"/>
            <w:hideMark/>
          </w:tcPr>
          <w:p w:rsidR="00FC16C7" w:rsidRPr="008C1567" w:rsidRDefault="00FC16C7" w:rsidP="00FC16C7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DC03C7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:rsidR="00FC16C7" w:rsidRPr="008C1567" w:rsidRDefault="00FC16C7" w:rsidP="008C156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C1567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FR1 User Account Management</w:t>
            </w:r>
          </w:p>
        </w:tc>
        <w:tc>
          <w:tcPr>
            <w:tcW w:w="4665" w:type="dxa"/>
            <w:vAlign w:val="center"/>
            <w:hideMark/>
          </w:tcPr>
          <w:p w:rsidR="00FC16C7" w:rsidRPr="008C1567" w:rsidRDefault="00FC16C7" w:rsidP="008C156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C1567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Enables core personalisation and order tracking.</w:t>
            </w:r>
          </w:p>
        </w:tc>
      </w:tr>
      <w:tr w:rsidR="00FC16C7" w:rsidRPr="00DC03C7" w:rsidTr="00FC16C7">
        <w:trPr>
          <w:tblCellSpacing w:w="15" w:type="dxa"/>
        </w:trPr>
        <w:tc>
          <w:tcPr>
            <w:tcW w:w="1953" w:type="dxa"/>
            <w:vMerge/>
            <w:vAlign w:val="center"/>
            <w:hideMark/>
          </w:tcPr>
          <w:p w:rsidR="00FC16C7" w:rsidRPr="008C1567" w:rsidRDefault="00FC16C7" w:rsidP="00FC16C7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FC16C7" w:rsidRPr="008C1567" w:rsidRDefault="00FC16C7" w:rsidP="008C156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C1567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FR2 Online Ordering and Checkout</w:t>
            </w:r>
          </w:p>
        </w:tc>
        <w:tc>
          <w:tcPr>
            <w:tcW w:w="4665" w:type="dxa"/>
            <w:vAlign w:val="center"/>
            <w:hideMark/>
          </w:tcPr>
          <w:p w:rsidR="00FC16C7" w:rsidRPr="008C1567" w:rsidRDefault="00FC16C7" w:rsidP="008C156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C1567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Central business function for sales conversion.</w:t>
            </w:r>
          </w:p>
        </w:tc>
      </w:tr>
      <w:tr w:rsidR="00FC16C7" w:rsidRPr="00DC03C7" w:rsidTr="00FC16C7">
        <w:trPr>
          <w:tblCellSpacing w:w="15" w:type="dxa"/>
        </w:trPr>
        <w:tc>
          <w:tcPr>
            <w:tcW w:w="1953" w:type="dxa"/>
            <w:vMerge/>
            <w:vAlign w:val="center"/>
            <w:hideMark/>
          </w:tcPr>
          <w:p w:rsidR="00FC16C7" w:rsidRPr="008C1567" w:rsidRDefault="00FC16C7" w:rsidP="00FC16C7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FC16C7" w:rsidRPr="008C1567" w:rsidRDefault="00FC16C7" w:rsidP="008C156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C1567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FR3 Product Catalogue</w:t>
            </w:r>
          </w:p>
        </w:tc>
        <w:tc>
          <w:tcPr>
            <w:tcW w:w="4665" w:type="dxa"/>
            <w:vAlign w:val="center"/>
            <w:hideMark/>
          </w:tcPr>
          <w:p w:rsidR="00FC16C7" w:rsidRPr="008C1567" w:rsidRDefault="00FC16C7" w:rsidP="008C156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C1567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Foundation of any retail platform.</w:t>
            </w:r>
          </w:p>
        </w:tc>
      </w:tr>
      <w:tr w:rsidR="00FC16C7" w:rsidRPr="00DC03C7" w:rsidTr="00FC16C7">
        <w:trPr>
          <w:tblCellSpacing w:w="15" w:type="dxa"/>
        </w:trPr>
        <w:tc>
          <w:tcPr>
            <w:tcW w:w="1953" w:type="dxa"/>
            <w:vMerge/>
            <w:vAlign w:val="center"/>
            <w:hideMark/>
          </w:tcPr>
          <w:p w:rsidR="00FC16C7" w:rsidRPr="008C1567" w:rsidRDefault="00FC16C7" w:rsidP="00FC16C7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FC16C7" w:rsidRPr="008C1567" w:rsidRDefault="00FC16C7" w:rsidP="008C156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C1567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FR5 Shopping Cart &amp; Delivery Slot</w:t>
            </w:r>
          </w:p>
        </w:tc>
        <w:tc>
          <w:tcPr>
            <w:tcW w:w="4665" w:type="dxa"/>
            <w:vAlign w:val="center"/>
            <w:hideMark/>
          </w:tcPr>
          <w:p w:rsidR="00FC16C7" w:rsidRPr="008C1567" w:rsidRDefault="00FC16C7" w:rsidP="008C156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C1567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Direct impact on customer satisfaction.</w:t>
            </w:r>
          </w:p>
        </w:tc>
      </w:tr>
      <w:tr w:rsidR="008C1567" w:rsidRPr="008C1567" w:rsidTr="00FC16C7">
        <w:trPr>
          <w:tblCellSpacing w:w="15" w:type="dxa"/>
        </w:trPr>
        <w:tc>
          <w:tcPr>
            <w:tcW w:w="1953" w:type="dxa"/>
            <w:vAlign w:val="center"/>
            <w:hideMark/>
          </w:tcPr>
          <w:p w:rsidR="008C1567" w:rsidRPr="008C1567" w:rsidRDefault="008C1567" w:rsidP="00FC16C7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C1567" w:rsidRPr="008C1567" w:rsidRDefault="008C1567" w:rsidP="008C156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C1567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FR8 GDPR Data Management</w:t>
            </w:r>
          </w:p>
        </w:tc>
        <w:tc>
          <w:tcPr>
            <w:tcW w:w="4665" w:type="dxa"/>
            <w:vAlign w:val="center"/>
            <w:hideMark/>
          </w:tcPr>
          <w:p w:rsidR="008C1567" w:rsidRPr="008C1567" w:rsidRDefault="008C1567" w:rsidP="008C156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C1567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Legal obligation to avoid penalties under GDPR (ICO, 2023).</w:t>
            </w:r>
          </w:p>
        </w:tc>
      </w:tr>
      <w:tr w:rsidR="00FC16C7" w:rsidRPr="00DC03C7" w:rsidTr="00FC16C7">
        <w:trPr>
          <w:tblCellSpacing w:w="15" w:type="dxa"/>
        </w:trPr>
        <w:tc>
          <w:tcPr>
            <w:tcW w:w="1953" w:type="dxa"/>
            <w:vMerge w:val="restart"/>
            <w:vAlign w:val="center"/>
            <w:hideMark/>
          </w:tcPr>
          <w:p w:rsidR="00FC16C7" w:rsidRPr="008C1567" w:rsidRDefault="00FC16C7" w:rsidP="00FC16C7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DC03C7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Should Have</w:t>
            </w:r>
          </w:p>
        </w:tc>
        <w:tc>
          <w:tcPr>
            <w:tcW w:w="0" w:type="auto"/>
            <w:vAlign w:val="center"/>
            <w:hideMark/>
          </w:tcPr>
          <w:p w:rsidR="00FC16C7" w:rsidRPr="008C1567" w:rsidRDefault="00FC16C7" w:rsidP="008C156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C1567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FR4 Promotions and Discounts</w:t>
            </w:r>
          </w:p>
        </w:tc>
        <w:tc>
          <w:tcPr>
            <w:tcW w:w="4665" w:type="dxa"/>
            <w:vAlign w:val="center"/>
            <w:hideMark/>
          </w:tcPr>
          <w:p w:rsidR="00FC16C7" w:rsidRPr="008C1567" w:rsidRDefault="00FC16C7" w:rsidP="008C156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C1567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Drives retention but not critical for MVP.</w:t>
            </w:r>
          </w:p>
        </w:tc>
      </w:tr>
      <w:tr w:rsidR="00FC16C7" w:rsidRPr="00DC03C7" w:rsidTr="00FC16C7">
        <w:trPr>
          <w:tblCellSpacing w:w="15" w:type="dxa"/>
        </w:trPr>
        <w:tc>
          <w:tcPr>
            <w:tcW w:w="1953" w:type="dxa"/>
            <w:vMerge/>
            <w:vAlign w:val="center"/>
            <w:hideMark/>
          </w:tcPr>
          <w:p w:rsidR="00FC16C7" w:rsidRPr="008C1567" w:rsidRDefault="00FC16C7" w:rsidP="00FC16C7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FC16C7" w:rsidRPr="008C1567" w:rsidRDefault="00FC16C7" w:rsidP="008C156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C1567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FR7 Logistics Integration</w:t>
            </w:r>
          </w:p>
        </w:tc>
        <w:tc>
          <w:tcPr>
            <w:tcW w:w="4665" w:type="dxa"/>
            <w:vAlign w:val="center"/>
            <w:hideMark/>
          </w:tcPr>
          <w:p w:rsidR="00FC16C7" w:rsidRPr="008C1567" w:rsidRDefault="00FC16C7" w:rsidP="008C156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C1567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Enhances efficiency but can be phased in after MVP.</w:t>
            </w:r>
          </w:p>
        </w:tc>
      </w:tr>
      <w:tr w:rsidR="00FC16C7" w:rsidRPr="00DC03C7" w:rsidTr="00FC16C7">
        <w:trPr>
          <w:tblCellSpacing w:w="15" w:type="dxa"/>
        </w:trPr>
        <w:tc>
          <w:tcPr>
            <w:tcW w:w="1953" w:type="dxa"/>
            <w:vMerge w:val="restart"/>
            <w:vAlign w:val="center"/>
            <w:hideMark/>
          </w:tcPr>
          <w:p w:rsidR="00FC16C7" w:rsidRPr="008C1567" w:rsidRDefault="00FC16C7" w:rsidP="00FC16C7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DC03C7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Could Have</w:t>
            </w:r>
          </w:p>
        </w:tc>
        <w:tc>
          <w:tcPr>
            <w:tcW w:w="0" w:type="auto"/>
            <w:vAlign w:val="center"/>
            <w:hideMark/>
          </w:tcPr>
          <w:p w:rsidR="00FC16C7" w:rsidRPr="008C1567" w:rsidRDefault="00FC16C7" w:rsidP="008C156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C1567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FR6 Educational Blog Section</w:t>
            </w:r>
          </w:p>
        </w:tc>
        <w:tc>
          <w:tcPr>
            <w:tcW w:w="4665" w:type="dxa"/>
            <w:vAlign w:val="center"/>
            <w:hideMark/>
          </w:tcPr>
          <w:p w:rsidR="00FC16C7" w:rsidRPr="008C1567" w:rsidRDefault="00FC16C7" w:rsidP="008C156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C1567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Supports brand identity and CSR but secondary to commerce.</w:t>
            </w:r>
          </w:p>
        </w:tc>
      </w:tr>
      <w:tr w:rsidR="00FC16C7" w:rsidRPr="00DC03C7" w:rsidTr="00FC16C7">
        <w:trPr>
          <w:tblCellSpacing w:w="15" w:type="dxa"/>
        </w:trPr>
        <w:tc>
          <w:tcPr>
            <w:tcW w:w="1953" w:type="dxa"/>
            <w:vMerge/>
            <w:vAlign w:val="center"/>
            <w:hideMark/>
          </w:tcPr>
          <w:p w:rsidR="00FC16C7" w:rsidRPr="008C1567" w:rsidRDefault="00FC16C7" w:rsidP="00FC16C7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FC16C7" w:rsidRPr="008C1567" w:rsidRDefault="00FC16C7" w:rsidP="008C156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C1567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FR9 Sustainability Dashboard</w:t>
            </w:r>
          </w:p>
        </w:tc>
        <w:tc>
          <w:tcPr>
            <w:tcW w:w="4665" w:type="dxa"/>
            <w:vAlign w:val="center"/>
            <w:hideMark/>
          </w:tcPr>
          <w:p w:rsidR="00FC16C7" w:rsidRPr="008C1567" w:rsidRDefault="00FC16C7" w:rsidP="008C156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C1567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Value-add feature for engagement and analytics.</w:t>
            </w:r>
          </w:p>
        </w:tc>
      </w:tr>
      <w:tr w:rsidR="008C1567" w:rsidRPr="008C1567" w:rsidTr="00DC03C7">
        <w:trPr>
          <w:trHeight w:val="869"/>
          <w:tblCellSpacing w:w="15" w:type="dxa"/>
        </w:trPr>
        <w:tc>
          <w:tcPr>
            <w:tcW w:w="1953" w:type="dxa"/>
            <w:vAlign w:val="center"/>
            <w:hideMark/>
          </w:tcPr>
          <w:p w:rsidR="00FC16C7" w:rsidRPr="00DC03C7" w:rsidRDefault="008C1567" w:rsidP="00FC16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DC03C7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Won’t Have </w:t>
            </w:r>
          </w:p>
          <w:p w:rsidR="008C1567" w:rsidRPr="008C1567" w:rsidRDefault="008C1567" w:rsidP="00FC16C7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DC03C7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(for now)</w:t>
            </w:r>
          </w:p>
        </w:tc>
        <w:tc>
          <w:tcPr>
            <w:tcW w:w="0" w:type="auto"/>
            <w:vAlign w:val="center"/>
            <w:hideMark/>
          </w:tcPr>
          <w:p w:rsidR="008C1567" w:rsidRPr="008C1567" w:rsidRDefault="008C1567" w:rsidP="008C156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C1567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FR10 Admin Portal (for advanced content workflow)</w:t>
            </w:r>
          </w:p>
        </w:tc>
        <w:tc>
          <w:tcPr>
            <w:tcW w:w="4665" w:type="dxa"/>
            <w:vAlign w:val="center"/>
            <w:hideMark/>
          </w:tcPr>
          <w:p w:rsidR="008C1567" w:rsidRPr="008C1567" w:rsidRDefault="008C1567" w:rsidP="008C156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C1567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May delay launch; basic CMS can temporarily suffice.</w:t>
            </w:r>
          </w:p>
        </w:tc>
      </w:tr>
    </w:tbl>
    <w:p w:rsidR="008C1567" w:rsidRPr="00DC03C7" w:rsidRDefault="008C1567">
      <w:pPr>
        <w:rPr>
          <w:rFonts w:cstheme="minorHAnsi"/>
          <w:lang w:val="en-US"/>
        </w:rPr>
      </w:pPr>
    </w:p>
    <w:p w:rsidR="00DC03C7" w:rsidRPr="00DC03C7" w:rsidRDefault="00DC03C7">
      <w:pPr>
        <w:rPr>
          <w:rFonts w:cstheme="minorHAnsi"/>
          <w:sz w:val="24"/>
          <w:szCs w:val="24"/>
        </w:rPr>
      </w:pPr>
      <w:r w:rsidRPr="00DC03C7">
        <w:rPr>
          <w:rStyle w:val="Strong"/>
          <w:rFonts w:cstheme="minorHAnsi"/>
          <w:sz w:val="24"/>
          <w:szCs w:val="24"/>
        </w:rPr>
        <w:t>Rationale:</w:t>
      </w:r>
      <w:r w:rsidRPr="00DC03C7">
        <w:rPr>
          <w:rFonts w:cstheme="minorHAnsi"/>
          <w:sz w:val="24"/>
          <w:szCs w:val="24"/>
        </w:rPr>
        <w:br/>
        <w:t>Prioritisation ensures the MVP (6-week deadline) focuses on business-critical capabilities — ordering, accounts, and compliance — while less urgent features can enter later sprints following Agile principles (Agile Alliance, 2023). The MoSCoW technique supports incremental delivery and stakeholder agreement on scope (Clegg &amp; Barker, 2016).</w:t>
      </w:r>
    </w:p>
    <w:p w:rsidR="00DC03C7" w:rsidRPr="00DC03C7" w:rsidRDefault="00DC03C7">
      <w:pPr>
        <w:rPr>
          <w:rFonts w:cstheme="minorHAnsi"/>
        </w:rPr>
      </w:pPr>
      <w:bookmarkStart w:id="0" w:name="_GoBack"/>
      <w:bookmarkEnd w:id="0"/>
    </w:p>
    <w:p w:rsidR="00DC03C7" w:rsidRPr="00DC03C7" w:rsidRDefault="00DC03C7" w:rsidP="00DC03C7">
      <w:pPr>
        <w:rPr>
          <w:rFonts w:cstheme="minorHAnsi"/>
          <w:b/>
          <w:color w:val="1F4E79" w:themeColor="accent1" w:themeShade="80"/>
          <w:sz w:val="40"/>
          <w:szCs w:val="40"/>
          <w:lang w:val="en-US"/>
        </w:rPr>
      </w:pPr>
      <w:r w:rsidRPr="00DC03C7">
        <w:rPr>
          <w:rFonts w:cstheme="minorHAnsi"/>
          <w:b/>
          <w:color w:val="1F4E79" w:themeColor="accent1" w:themeShade="80"/>
          <w:sz w:val="40"/>
          <w:szCs w:val="40"/>
          <w:lang w:val="en-US"/>
        </w:rPr>
        <w:t>v. REFERENCES</w:t>
      </w:r>
    </w:p>
    <w:p w:rsidR="00DC03C7" w:rsidRPr="00DC03C7" w:rsidRDefault="00DC03C7" w:rsidP="00DC03C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</w:pPr>
      <w:r w:rsidRPr="00DC03C7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 xml:space="preserve">Agile Alliance (2023) </w:t>
      </w:r>
      <w:r w:rsidRPr="00DC03C7">
        <w:rPr>
          <w:rFonts w:eastAsia="Times New Roman" w:cstheme="minorHAnsi"/>
          <w:i/>
          <w:iCs/>
          <w:kern w:val="0"/>
          <w:sz w:val="24"/>
          <w:szCs w:val="24"/>
          <w:lang w:val="en-US"/>
          <w14:ligatures w14:val="none"/>
        </w:rPr>
        <w:t>What is MoSCoW prioritization?</w:t>
      </w:r>
      <w:r w:rsidRPr="00DC03C7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 xml:space="preserve"> Available at: </w:t>
      </w:r>
      <w:hyperlink r:id="rId6" w:tgtFrame="_new" w:history="1">
        <w:r w:rsidRPr="00DC03C7">
          <w:rPr>
            <w:rFonts w:eastAsia="Times New Roman" w:cstheme="minorHAnsi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https://www.agilealliance.org/</w:t>
        </w:r>
      </w:hyperlink>
      <w:r w:rsidRPr="00DC03C7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 xml:space="preserve"> (Accessed 11 Nov 2025).</w:t>
      </w:r>
      <w:r w:rsidRPr="00DC03C7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br/>
        <w:t xml:space="preserve">Bass, L., Clements, P. and Kazan, R. (2012) </w:t>
      </w:r>
      <w:r w:rsidRPr="00DC03C7">
        <w:rPr>
          <w:rFonts w:eastAsia="Times New Roman" w:cstheme="minorHAnsi"/>
          <w:i/>
          <w:iCs/>
          <w:kern w:val="0"/>
          <w:sz w:val="24"/>
          <w:szCs w:val="24"/>
          <w:lang w:val="en-US"/>
          <w14:ligatures w14:val="none"/>
        </w:rPr>
        <w:t>Software Architecture in Practice.</w:t>
      </w:r>
      <w:r w:rsidRPr="00DC03C7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 xml:space="preserve"> 3rd ed. Boston: Addison-Wesley.</w:t>
      </w:r>
      <w:r w:rsidRPr="00DC03C7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br/>
        <w:t xml:space="preserve">Carrol, A. B. and Buchholtz, A. K. (2021) </w:t>
      </w:r>
      <w:r w:rsidRPr="00DC03C7">
        <w:rPr>
          <w:rFonts w:eastAsia="Times New Roman" w:cstheme="minorHAnsi"/>
          <w:i/>
          <w:iCs/>
          <w:kern w:val="0"/>
          <w:sz w:val="24"/>
          <w:szCs w:val="24"/>
          <w:lang w:val="en-US"/>
          <w14:ligatures w14:val="none"/>
        </w:rPr>
        <w:t>Business and Society: Ethics, Sustainability and Stakeholder Management.</w:t>
      </w:r>
      <w:r w:rsidRPr="00DC03C7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 xml:space="preserve"> 11th ed. Boston: Cengage.</w:t>
      </w:r>
      <w:r w:rsidRPr="00DC03C7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br/>
        <w:t xml:space="preserve">Christopher, M. (2016) </w:t>
      </w:r>
      <w:r w:rsidRPr="00DC03C7">
        <w:rPr>
          <w:rFonts w:eastAsia="Times New Roman" w:cstheme="minorHAnsi"/>
          <w:i/>
          <w:iCs/>
          <w:kern w:val="0"/>
          <w:sz w:val="24"/>
          <w:szCs w:val="24"/>
          <w:lang w:val="en-US"/>
          <w14:ligatures w14:val="none"/>
        </w:rPr>
        <w:t>Logistics and Supply Chain Management.</w:t>
      </w:r>
      <w:r w:rsidRPr="00DC03C7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 xml:space="preserve"> 5th ed. Pearson Education.</w:t>
      </w:r>
      <w:r w:rsidRPr="00DC03C7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br/>
        <w:t xml:space="preserve">Clegg, D. and Barker, R. (2016) </w:t>
      </w:r>
      <w:r w:rsidRPr="00DC03C7">
        <w:rPr>
          <w:rFonts w:eastAsia="Times New Roman" w:cstheme="minorHAnsi"/>
          <w:i/>
          <w:iCs/>
          <w:kern w:val="0"/>
          <w:sz w:val="24"/>
          <w:szCs w:val="24"/>
          <w:lang w:val="en-US"/>
          <w14:ligatures w14:val="none"/>
        </w:rPr>
        <w:t>Case Method Fast-Track: A Radical Approach to Requirements and Systems Development.</w:t>
      </w:r>
      <w:r w:rsidRPr="00DC03C7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 xml:space="preserve"> Addison-Wesley.</w:t>
      </w:r>
      <w:r w:rsidRPr="00DC03C7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br/>
        <w:t xml:space="preserve">Elkington, J. (1998) </w:t>
      </w:r>
      <w:r w:rsidRPr="00DC03C7">
        <w:rPr>
          <w:rFonts w:eastAsia="Times New Roman" w:cstheme="minorHAnsi"/>
          <w:i/>
          <w:iCs/>
          <w:kern w:val="0"/>
          <w:sz w:val="24"/>
          <w:szCs w:val="24"/>
          <w:lang w:val="en-US"/>
          <w14:ligatures w14:val="none"/>
        </w:rPr>
        <w:t>Cannibals with Forks: The Triple Bottom Line of 21st Century Business.</w:t>
      </w:r>
      <w:r w:rsidRPr="00DC03C7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 xml:space="preserve"> </w:t>
      </w:r>
      <w:r w:rsidRPr="00DC03C7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lastRenderedPageBreak/>
        <w:t>Oxford: Capstone.</w:t>
      </w:r>
      <w:r w:rsidRPr="00DC03C7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br/>
        <w:t xml:space="preserve">Information Commissioner’s Office (ICO) (2023) </w:t>
      </w:r>
      <w:r w:rsidRPr="00DC03C7">
        <w:rPr>
          <w:rFonts w:eastAsia="Times New Roman" w:cstheme="minorHAnsi"/>
          <w:i/>
          <w:iCs/>
          <w:kern w:val="0"/>
          <w:sz w:val="24"/>
          <w:szCs w:val="24"/>
          <w:lang w:val="en-US"/>
          <w14:ligatures w14:val="none"/>
        </w:rPr>
        <w:t>Guide to the UK GDPR.</w:t>
      </w:r>
      <w:r w:rsidRPr="00DC03C7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 xml:space="preserve"> Available at: </w:t>
      </w:r>
      <w:hyperlink r:id="rId7" w:tgtFrame="_new" w:history="1">
        <w:r w:rsidRPr="00DC03C7">
          <w:rPr>
            <w:rFonts w:eastAsia="Times New Roman" w:cstheme="minorHAnsi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https://ico.org.uk</w:t>
        </w:r>
      </w:hyperlink>
      <w:r w:rsidRPr="00DC03C7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>.</w:t>
      </w:r>
      <w:r w:rsidRPr="00DC03C7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br/>
        <w:t xml:space="preserve">Kotler, P. and Keller, K. L. (2016) </w:t>
      </w:r>
      <w:r w:rsidRPr="00DC03C7">
        <w:rPr>
          <w:rFonts w:eastAsia="Times New Roman" w:cstheme="minorHAnsi"/>
          <w:i/>
          <w:iCs/>
          <w:kern w:val="0"/>
          <w:sz w:val="24"/>
          <w:szCs w:val="24"/>
          <w:lang w:val="en-US"/>
          <w14:ligatures w14:val="none"/>
        </w:rPr>
        <w:t>Marketing Management.</w:t>
      </w:r>
      <w:r w:rsidRPr="00DC03C7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 xml:space="preserve"> 15th ed. Harlow: Pearson Education.</w:t>
      </w:r>
      <w:r w:rsidRPr="00DC03C7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br/>
        <w:t xml:space="preserve">Marquez, G., et al. (2019) ‘The impact of delivery options on e-commerce customer satisfaction’, </w:t>
      </w:r>
      <w:r w:rsidRPr="00DC03C7">
        <w:rPr>
          <w:rFonts w:eastAsia="Times New Roman" w:cstheme="minorHAnsi"/>
          <w:i/>
          <w:iCs/>
          <w:kern w:val="0"/>
          <w:sz w:val="24"/>
          <w:szCs w:val="24"/>
          <w:lang w:val="en-US"/>
          <w14:ligatures w14:val="none"/>
        </w:rPr>
        <w:t>Journal of Retailing and Consumer Services</w:t>
      </w:r>
      <w:r w:rsidRPr="00DC03C7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>, 48, pp. 102–110.</w:t>
      </w:r>
      <w:r w:rsidRPr="00DC03C7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br/>
        <w:t xml:space="preserve">Nielsen, J. (2012) </w:t>
      </w:r>
      <w:r w:rsidRPr="00DC03C7">
        <w:rPr>
          <w:rFonts w:eastAsia="Times New Roman" w:cstheme="minorHAnsi"/>
          <w:i/>
          <w:iCs/>
          <w:kern w:val="0"/>
          <w:sz w:val="24"/>
          <w:szCs w:val="24"/>
          <w:lang w:val="en-US"/>
          <w14:ligatures w14:val="none"/>
        </w:rPr>
        <w:t>Usability Engineering.</w:t>
      </w:r>
      <w:r w:rsidRPr="00DC03C7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 xml:space="preserve"> Morgan Kaufmann.</w:t>
      </w:r>
      <w:r w:rsidRPr="00DC03C7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br/>
        <w:t xml:space="preserve">Pfleging, B., et al. (2020) ‘Resilience and reliability in cloud-based e-commerce systems’, </w:t>
      </w:r>
      <w:r w:rsidRPr="00DC03C7">
        <w:rPr>
          <w:rFonts w:eastAsia="Times New Roman" w:cstheme="minorHAnsi"/>
          <w:i/>
          <w:iCs/>
          <w:kern w:val="0"/>
          <w:sz w:val="24"/>
          <w:szCs w:val="24"/>
          <w:lang w:val="en-US"/>
          <w14:ligatures w14:val="none"/>
        </w:rPr>
        <w:t>ACM Transactions on Internet Technology</w:t>
      </w:r>
      <w:r w:rsidRPr="00DC03C7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>, 20(4), pp. 1–22.</w:t>
      </w:r>
      <w:r w:rsidRPr="00DC03C7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br/>
        <w:t xml:space="preserve">Poppendieck, M. and Cusumano, M. A. (2012) ‘Lean Software Development: A tutorial’, </w:t>
      </w:r>
      <w:r w:rsidRPr="00DC03C7">
        <w:rPr>
          <w:rFonts w:eastAsia="Times New Roman" w:cstheme="minorHAnsi"/>
          <w:i/>
          <w:iCs/>
          <w:kern w:val="0"/>
          <w:sz w:val="24"/>
          <w:szCs w:val="24"/>
          <w:lang w:val="en-US"/>
          <w14:ligatures w14:val="none"/>
        </w:rPr>
        <w:t>IEEE Software</w:t>
      </w:r>
      <w:r w:rsidRPr="00DC03C7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>, 29(5), pp. 26–32.</w:t>
      </w:r>
      <w:r w:rsidRPr="00DC03C7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br/>
        <w:t xml:space="preserve">Pressman, R. S. and Maxim, B. R. (2020) </w:t>
      </w:r>
      <w:r w:rsidRPr="00DC03C7">
        <w:rPr>
          <w:rFonts w:eastAsia="Times New Roman" w:cstheme="minorHAnsi"/>
          <w:i/>
          <w:iCs/>
          <w:kern w:val="0"/>
          <w:sz w:val="24"/>
          <w:szCs w:val="24"/>
          <w:lang w:val="en-US"/>
          <w14:ligatures w14:val="none"/>
        </w:rPr>
        <w:t>Software Engineering: A Practitioner’s Approach.</w:t>
      </w:r>
      <w:r w:rsidRPr="00DC03C7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 xml:space="preserve"> 9th ed. New York: McGraw-Hill.</w:t>
      </w:r>
      <w:r w:rsidRPr="00DC03C7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br/>
        <w:t xml:space="preserve">Sommerville, I. (2016) </w:t>
      </w:r>
      <w:r w:rsidRPr="00DC03C7">
        <w:rPr>
          <w:rFonts w:eastAsia="Times New Roman" w:cstheme="minorHAnsi"/>
          <w:i/>
          <w:iCs/>
          <w:kern w:val="0"/>
          <w:sz w:val="24"/>
          <w:szCs w:val="24"/>
          <w:lang w:val="en-US"/>
          <w14:ligatures w14:val="none"/>
        </w:rPr>
        <w:t>Software Engineering.</w:t>
      </w:r>
      <w:r w:rsidRPr="00DC03C7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 xml:space="preserve"> 10th ed. Harlow: Pearson.</w:t>
      </w:r>
    </w:p>
    <w:p w:rsidR="00DC03C7" w:rsidRPr="00DC03C7" w:rsidRDefault="00DC03C7">
      <w:pPr>
        <w:rPr>
          <w:rFonts w:cstheme="minorHAnsi"/>
          <w:lang w:val="en-US"/>
        </w:rPr>
      </w:pPr>
    </w:p>
    <w:sectPr w:rsidR="00DC03C7" w:rsidRPr="00DC0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346B6"/>
    <w:multiLevelType w:val="multilevel"/>
    <w:tmpl w:val="E65A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80C"/>
    <w:rsid w:val="0015080C"/>
    <w:rsid w:val="00786E65"/>
    <w:rsid w:val="008C1567"/>
    <w:rsid w:val="008C2265"/>
    <w:rsid w:val="00D9221B"/>
    <w:rsid w:val="00DC03C7"/>
    <w:rsid w:val="00F87A02"/>
    <w:rsid w:val="00FC1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350D3"/>
  <w15:chartTrackingRefBased/>
  <w15:docId w15:val="{5AA1A274-1604-473B-B6B2-1857D8CEF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080C"/>
    <w:pPr>
      <w:spacing w:line="256" w:lineRule="auto"/>
    </w:pPr>
    <w:rPr>
      <w:rFonts w:asciiTheme="minorHAnsi" w:hAnsiTheme="minorHAnsi"/>
      <w:kern w:val="2"/>
      <w:sz w:val="22"/>
      <w:lang w:val="vi-VN"/>
      <w14:ligatures w14:val="standardContextual"/>
    </w:rPr>
  </w:style>
  <w:style w:type="paragraph" w:styleId="Heading3">
    <w:name w:val="heading 3"/>
    <w:basedOn w:val="Normal"/>
    <w:link w:val="Heading3Char"/>
    <w:uiPriority w:val="9"/>
    <w:qFormat/>
    <w:rsid w:val="00DC03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1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8C156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C03C7"/>
    <w:rPr>
      <w:rFonts w:eastAsia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DC03C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C03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5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co.org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gilealliance.org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1034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trinhanhpc</dc:creator>
  <cp:keywords/>
  <dc:description/>
  <cp:lastModifiedBy>trinhanhpc</cp:lastModifiedBy>
  <cp:revision>1</cp:revision>
  <dcterms:created xsi:type="dcterms:W3CDTF">2025-11-11T08:32:00Z</dcterms:created>
  <dcterms:modified xsi:type="dcterms:W3CDTF">2025-11-11T08:43:00Z</dcterms:modified>
</cp:coreProperties>
</file>