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Default Extension="ICO" ContentType="image/.ico"/>
  <Override PartName="/word/document.xml" ContentType="application/vnd.ms-word.document.macroEnabled.main+xml"/>
  <Override PartName="/word/vbaData.xml" ContentType="application/vnd.ms-word.vbaData+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microsoft.com/office/2007/relationships/ui/extensibility" Target="customUI/customUI14.xml" Id="R2f9a12ed56c04698"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f06605eafa344c9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62" w14:textId="00100063">
      <w:pPr>
        <w:pStyle w:val="papertitle"/>
      </w:pPr>
      <w:r>
        <w:rPr/>
        <w:t xml:space="preserve">Solar Energy Forecasting Using Linear Regression Models: A Case Study on Renewable Power Generation and Weather Conditions</w:t>
      </w:r>
    </w:p>
    <w:p w14:paraId="00100064" w14:textId="00100065">
      <w:pPr>
        <w:pStyle w:val="author"/>
      </w:pPr>
      <w:r>
        <w:rPr/>
        <w:t xml:space="preserve">Student Author</w:t>
      </w:r>
    </w:p>
    <w:p w14:paraId="00100066" w14:textId="00100067">
      <w:pPr>
        <w:pStyle w:val="address"/>
      </w:pPr>
      <w:r>
        <w:rPr/>
        <w:t xml:space="preserve">University, Department, City, Country</w:t>
      </w:r>
    </w:p>
    <w:p w14:paraId="00100068" w14:textId="00100069">
      <w:pPr>
        <w:pStyle w:val="abstract"/>
      </w:pPr>
      <w:r>
        <w:rPr/>
        <w:t xml:space="preserve">Abstract. Accurate forecasting of solar energy generation is essential for grid stability and the efficient integration of renewable energy into modern power systems. This study presents a comparative analysis of three ordinary least squares linear regression models for predicting photovoltaic energy output at 15-minute intervals over a 24-hour horizon. Using the Renewable Power Generation and Weather Conditions dataset comprising 196,776 observations from 2017 to 2022, we develop progressively complex models incorporating meteorological variables, cyclic temporal encoding, autoregressive lag features, and interaction terms. Model C achieves the best performance with test RMSE of 226.6 Wh, RÂ² of 0.9594, and Relative Error of 32.80%. Feature importance analysis reveals that autoregressive lag terms dominate prediction accuracy. A daytime-only evaluation yields Relative Error of 24.49%, contextualizing the zero-inflation issue from nighttime periods (51.3% of observations).</w:t>
      </w:r>
    </w:p>
    <w:p w14:paraId="0010006A" w14:textId="0010006B">
      <w:pPr>
        <w:pStyle w:val="keywords"/>
      </w:pPr>
      <w:r>
        <w:rPr/>
        <w:t xml:space="preserve">Keywords: Solar Energy Forecasting, Linear Regression, Renewable Energy, Time Series Analysis, Feature Engineering.</w:t>
      </w:r>
    </w:p>
    <w:p w14:paraId="0010006C" w14:textId="0010006D">
      <w:pPr>
        <w:pStyle w:val="heading1"/>
      </w:pPr>
      <w:r>
        <w:rPr/>
        <w:t xml:space="preserve">Introduction</w:t>
      </w:r>
    </w:p>
    <w:p w14:paraId="0010006E" w14:textId="0010006F">
      <w:pPr>
        <w:pStyle w:val="p1a"/>
      </w:pPr>
      <w:r>
        <w:rPr/>
        <w:t xml:space="preserve">The global energy landscape is undergoing a fundamental transformation driven by climate change imperatives, declining renewable energy costs, and increasing policy support for decarbonization. Solar photovoltaic (PV) capacity has expanded dramatically over the past decade, with global installed capacity exceeding 1 TW in 2022 [1]. This rapid growth presents significant challenges for grid operators, who must balance intermittent renewable generation with variable demand patterns. Accurate short-term forecasting of solar power output has therefore become a critical component of modern smart grid management systems.</w:t>
      </w:r>
    </w:p>
    <w:p w14:paraId="00100070" w14:textId="00100071">
      <w:pPr>
        <w:pStyle w:val="Normal"/>
      </w:pPr>
      <w:r>
        <w:rPr/>
        <w:t xml:space="preserve">The field of solar energy forecasting encompasses multiple methodological approaches, broadly categorized as physical models, statistical methods, and machine learning techniques. Physical models rely on numerical weather prediction (NWP) outputs and atmospheric physics to estimate irradiance, while statistical approaches leverage historical data patterns to predict future generation. Within the statistical paradigm, linear regression models offer a particularly attractive baseline due to their interpretability, computational efficiency, and well-understood theoretical properties under the Gauss-Markov theorem [2].</w:t>
      </w:r>
    </w:p>
    <w:p w14:paraId="00100072" w14:textId="00100073">
      <w:pPr>
        <w:pStyle w:val="Normal"/>
      </w:pPr>
      <w:r>
        <w:rPr/>
        <w:t xml:space="preserve">Previous studies have explored linear regression for solar forecasting with varying degrees of success. Shakya et al. [3] demonstrated that multiple linear regression incorporating temperature, humidity, and wind speed could achieve RÂ² values of 0.78-0.85 for daily solar radiation prediction. Similarly, Voyant et al. [4] compared linear and nonlinear models for hourly solar forecasting, finding that appropriately engineered linear models could compete with more complex approaches when temporal features were properly incorporated. However, open problems persist, including the handling of zero-inflated target distributions (where nighttime periods produce exactly zero generation), effective feature selection for multi-step forecasting horizons, and the inherent limitations of linear assumptions in capturing nonlinear weather-energy relationships. This paper addresses these challenges through a systematic comparison of three OLS models with increasing feature complexity.</w:t>
      </w:r>
    </w:p>
    <w:p w14:paraId="00100074" w14:textId="00100075">
      <w:pPr>
        <w:pStyle w:val="Normal"/>
      </w:pPr>
      <w:r>
        <w:rPr/>
        <w:t xml:space="preserve">The research objectives of this paper are fourfold: (1) to develop three OLS linear regression models with progressively complex feature sets for 15-minute solar energy prediction; (2) to identify the dominant meteorological and temporal predictors of photovoltaic energy generation; (3) to evaluate model performance using MSE, MAE, RMSE, and Relative Error on held-out 2022 test data; and (4) to generate and analyze 24-hour (96-step) autoregressive rollout forecasts. The remainder of this paper is organized as follows: Section 2 describes the dataset, preprocessing pipeline, research framework, and theoretical basis. Section 3 presents experimental results, model comparisons, and discussion. Section 4 concludes with findings, limitations, and future research directions.</w:t>
      </w:r>
    </w:p>
    <w:p w14:paraId="00100076" w14:textId="00100077">
      <w:pPr>
        <w:pStyle w:val="heading1"/>
      </w:pPr>
      <w:r>
        <w:rPr/>
        <w:t xml:space="preserve">Materials and Methods</w:t>
      </w:r>
    </w:p>
    <w:p w14:paraId="00100078" w14:textId="00100079">
      <w:pPr>
        <w:pStyle w:val="heading2"/>
      </w:pPr>
      <w:r>
        <w:rPr/>
        <w:t xml:space="preserve">Case Study -- Dataset Description</w:t>
      </w:r>
    </w:p>
    <w:p w14:paraId="0010007A" w14:textId="0010007B">
      <w:pPr>
        <w:pStyle w:val="p1a"/>
      </w:pPr>
      <w:r>
        <w:rPr/>
        <w:t xml:space="preserve">This study utilizes the Renewable Power Generation and Weather Conditions dataset, a comprehensive collection of solar energy generation and meteorological measurements recorded at 15-minute intervals. The dataset comprises 196,776 observations spanning from January 1, 2017, to August 31, 2022, with 17 columns including timestamp, energy generation, and weather variables. The target variable is Energy delta[Wh], representing the electrical energy generated during each 15-minute interval, with a mean of 573 Wh and maximum of 5,020 Wh. A critical characteristic is that 51.3% of observations are zero, corresponding to nighttime periods and overcast conditions where no solar generation occurs.</w:t>
      </w:r>
    </w:p>
    <w:p w14:paraId="0010007C" w14:textId="0010007D">
      <w:pPr>
        <w:pStyle w:val="Normal"/>
      </w:pPr>
      <w:r>
        <w:rPr/>
        <w:t xml:space="preserve">The meteorological features include Global Horizontal Irradiance (GHI), which is the primary driver of solar generation (Pearson correlation r = 0.917 with the target), along with temperature, pressure, humidity, wind speed, precipitation, cloud cover, and derived sunlight metrics. Temporal features (hour, month) are also provided. The dataset contains 1,824 missing timestamps representing sensor outages, which are handled through a historical pattern-based gap reconstruction algorithm during preprocessing. The data is split chronologically: observations from 2017-2021 (174,048 rows, 88.4%) form the training set, while 2022 data (22,728 rows, 11.6%) is held out for testing.</w:t>
      </w:r>
    </w:p>
    <w:p w14:paraId="0010007E" w14:textId="0010007F">
      <w:pPr>
        <w:pStyle w:val="Normal"/>
      </w:pPr>
      <w:r>
        <w:rPr/>
        <w:t xml:space="preserve">Table 1 summarizes the correlation of each feature with the target variable. GHI dominates with r = 0.917, confirming that solar irradiance is the primary determinant of energy generation. Humidity shows the strongest negative correlation (r = -0.547), consistent with the physical relationship between cloud cover and reduced solar irradiance. Temperature (r = 0.386) and wind speed (r = 0.032) show weaker positive correlations. Rainfall and snowfall exhibit negligible negative correlations, as precipitation events typically coincide with reduced sunlight.</w:t>
      </w:r>
    </w:p>
    <w:p w14:paraId="00100080" w14:textId="00100081">
      <w:pPr>
        <w:pStyle w:val="tablecaption"/>
      </w:pPr>
      <w:r>
        <w:rPr/>
        <w:t xml:space="preserve">Table 1. Pearson correlation of features with Energy delta[Wh].</w:t>
      </w:r>
    </w:p>
    <w:tbl>
      <w:tblPr>
        <w:tblW w:w="6918" w:type="dxa"/>
        <w:jc w:val="center"/>
        <w:tblBorders>
          <w:top w:val="single" w:sz="4"/>
          <w:left w:val="single" w:sz="4"/>
          <w:bottom w:val="single" w:sz="4"/>
          <w:right w:val="single" w:sz="4"/>
          <w:insideH w:val="single" w:sz="4"/>
          <w:insideV w:val="single" w:sz="4"/>
        </w:tblBorders>
      </w:tblPr>
      <w:tblGrid>
        <w:gridCol w:w="3459"/>
        <w:gridCol w:w="3459"/>
      </w:tblGrid>
      <w:tr>
        <w:tc>
          <w:tcPr/>
          <w:p w14:paraId="00100082" w14:textId="00100149">
            <w:pPr>
              <w:rPr/>
            </w:pPr>
            <w:r>
              <w:rPr/>
              <w:t xml:space="preserve">Feature</w:t>
            </w:r>
          </w:p>
        </w:tc>
        <w:tc>
          <w:tcPr/>
          <w:p w14:paraId="00100084" w14:textId="0010014A">
            <w:pPr>
              <w:rPr/>
            </w:pPr>
            <w:r>
              <w:rPr/>
              <w:t xml:space="preserve">Pearson r</w:t>
            </w:r>
          </w:p>
        </w:tc>
      </w:tr>
      <w:tr>
        <w:tc>
          <w:tcPr/>
          <w:p w14:paraId="00100086" w14:textId="0010014B">
            <w:pPr/>
            <w:r>
              <w:rPr/>
              <w:t xml:space="preserve">GHI</w:t>
            </w:r>
          </w:p>
        </w:tc>
        <w:tc>
          <w:tcPr/>
          <w:p w14:paraId="00100088" w14:textId="0010014C">
            <w:pPr/>
            <w:r>
              <w:rPr/>
              <w:t xml:space="preserve">0.917</w:t>
            </w:r>
          </w:p>
        </w:tc>
      </w:tr>
      <w:tr>
        <w:tc>
          <w:tcPr/>
          <w:p w14:paraId="0010008A" w14:textId="0010014D">
            <w:pPr/>
            <w:r>
              <w:rPr/>
              <w:t xml:space="preserve">isSun</w:t>
            </w:r>
          </w:p>
        </w:tc>
        <w:tc>
          <w:tcPr/>
          <w:p w14:paraId="0010008C" w14:textId="0010014E">
            <w:pPr/>
            <w:r>
              <w:rPr/>
              <w:t xml:space="preserve">0.527</w:t>
            </w:r>
          </w:p>
        </w:tc>
      </w:tr>
      <w:tr>
        <w:tc>
          <w:tcPr/>
          <w:p w14:paraId="0010008E" w14:textId="0010014F">
            <w:pPr/>
            <w:r>
              <w:rPr/>
              <w:t xml:space="preserve">sunlightTime</w:t>
            </w:r>
          </w:p>
        </w:tc>
        <w:tc>
          <w:tcPr/>
          <w:p w14:paraId="00100090" w14:textId="00100150">
            <w:pPr/>
            <w:r>
              <w:rPr/>
              <w:t xml:space="preserve">0.441</w:t>
            </w:r>
          </w:p>
        </w:tc>
      </w:tr>
      <w:tr>
        <w:tc>
          <w:tcPr/>
          <w:p w14:paraId="00100092" w14:textId="00100151">
            <w:pPr/>
            <w:r>
              <w:rPr/>
              <w:t xml:space="preserve">temp</w:t>
            </w:r>
          </w:p>
        </w:tc>
        <w:tc>
          <w:tcPr/>
          <w:p w14:paraId="00100094" w14:textId="00100152">
            <w:pPr/>
            <w:r>
              <w:rPr/>
              <w:t xml:space="preserve">0.386</w:t>
            </w:r>
          </w:p>
        </w:tc>
      </w:tr>
      <w:tr>
        <w:tc>
          <w:tcPr/>
          <w:p w14:paraId="00100096" w14:textId="00100153">
            <w:pPr/>
            <w:r>
              <w:rPr/>
              <w:t xml:space="preserve">humidity</w:t>
            </w:r>
          </w:p>
        </w:tc>
        <w:tc>
          <w:tcPr/>
          <w:p w14:paraId="00100098" w14:textId="00100154">
            <w:pPr/>
            <w:r>
              <w:rPr/>
              <w:t xml:space="preserve">-0.546</w:t>
            </w:r>
          </w:p>
        </w:tc>
      </w:tr>
      <w:tr>
        <w:tc>
          <w:tcPr/>
          <w:p w14:paraId="0010009A" w14:textId="00100155">
            <w:pPr/>
            <w:r>
              <w:rPr/>
              <w:t xml:space="preserve">clouds_all</w:t>
            </w:r>
          </w:p>
        </w:tc>
        <w:tc>
          <w:tcPr/>
          <w:p w14:paraId="0010009C" w14:textId="00100156">
            <w:pPr/>
            <w:r>
              <w:rPr/>
              <w:t xml:space="preserve">-0.199</w:t>
            </w:r>
          </w:p>
        </w:tc>
      </w:tr>
      <w:tr>
        <w:tc>
          <w:tcPr/>
          <w:p w14:paraId="0010009E" w14:textId="00100157">
            <w:pPr/>
            <w:r>
              <w:rPr/>
              <w:t xml:space="preserve">pressure</w:t>
            </w:r>
          </w:p>
        </w:tc>
        <w:tc>
          <w:tcPr/>
          <w:p w14:paraId="001000A0" w14:textId="00100158">
            <w:pPr/>
            <w:r>
              <w:rPr/>
              <w:t xml:space="preserve">0.113</w:t>
            </w:r>
          </w:p>
        </w:tc>
      </w:tr>
    </w:tbl>
    <w:p w14:paraId="001000A2" w14:textId="001000A3">
      <w:pPr>
        <w:pStyle w:val="heading2"/>
      </w:pPr>
      <w:r>
        <w:rPr/>
        <w:t xml:space="preserve">Research Framework</w:t>
      </w:r>
    </w:p>
    <w:p w14:paraId="001000A4" w14:textId="001000A5">
      <w:pPr>
        <w:pStyle w:val="p1a"/>
      </w:pPr>
      <w:r>
        <w:rPr/>
        <w:t xml:space="preserve">The research framework follows a systematic 10-step workflow: (1) data loading and datetime parsing, (2) chronological train/test split, (3) reindexing to complete 15-minute intervals with historical pattern-based gap reconstruction, (4) outlier clipping using percentile-based bounds fitted on training data, (5) exploratory data analysis including correlation analysis and scatter visualization, (6) feature engineering including lag features, rolling statistics, cyclic encoding, and interaction terms, (7) model construction and training for three OLS variants, (8) training set evaluation, (9) 24-hour autoregressive rollout forecasting, and (10) test set evaluation with factor dominance analysis. All preprocessing statistics are computed exclusively on training data to prevent data leakage.</w:t>
      </w:r>
    </w:p>
    <w:p w14:paraId="001000A6" w14:textId="001000A7">
      <w:pPr>
        <w:pStyle w:val="heading2"/>
      </w:pPr>
      <w:r>
        <w:rPr/>
        <w:t xml:space="preserve">Research Contents</w:t>
      </w:r>
    </w:p>
    <w:p w14:paraId="001000A8" w14:textId="001000A9">
      <w:pPr>
        <w:pStyle w:val="heading2"/>
      </w:pPr>
      <w:r>
        <w:rPr/>
        <w:t xml:space="preserve">Theoretical Basis -- OLS Linear Regression</w:t>
      </w:r>
    </w:p>
    <w:p w14:paraId="001000AA" w14:textId="001000AB">
      <w:pPr>
        <w:pStyle w:val="p1a"/>
      </w:pPr>
      <w:r>
        <w:rPr/>
        <w:t xml:space="preserve">Ordinary Least Squares (OLS) linear regression models the relationship between a dependent variable y and a set of independent variables X through the equation Å· = XÎ²Ì‚ + Îµ, where Î²Ì‚ = (Xáµ€X)â»Â¹Xáµ€y represents the coefficient vector estimated by minimizing the sum of squared residuals. The Gauss-Markov theorem establishes that OLS estimators are Best Linear Unbiased Estimators (BLUE) under five assumptions: linearity in parameters, strict exogeneity (E[Îµ|X] = 0), no perfect multicollinearity, homoscedasticity (Var[Îµ|X] = ÏƒÂ²I), and no autocorrelation of residuals (Cov[Îµáµ¢, Îµâ±¼|X] = 0 for i â‰  j).</w:t>
      </w:r>
    </w:p>
    <w:p w14:paraId="001000AC" w14:textId="001000AD">
      <w:pPr>
        <w:pStyle w:val="Normal"/>
      </w:pPr>
      <w:r>
        <w:rPr/>
        <w:t xml:space="preserve">In the context of time-series solar data, the fifth assumption (no autocorrelation) is violated by construction due to the temporal dependence inherent in energy generation patterns. This violation does not bias coefficient estimates but inflates standard errors and affects inference. Model C partially addresses this by including autoregressive lag terms (ED_lag1, ED_lag4, ED_lag96), which capture temporal dependencies and improve prediction accuracy. Despite the autocorrelation violation, OLS remains valuable for this application due to its interpretability, computational efficiency, and the availability of diagnostic tools.</w:t>
      </w:r>
    </w:p>
    <w:p w14:paraId="001000AE" w14:textId="001000AF">
      <w:pPr>
        <w:pStyle w:val="heading2"/>
      </w:pPr>
      <w:r>
        <w:rPr/>
        <w:t xml:space="preserve">Feature Selection Rationale</w:t>
      </w:r>
    </w:p>
    <w:p w14:paraId="001000B0" w14:textId="001000B1">
      <w:pPr>
        <w:pStyle w:val="p1a"/>
      </w:pPr>
      <w:r>
        <w:rPr/>
        <w:t xml:space="preserve">Three OLS models are constructed with progressively complex feature sets to evaluate the contribution of different variable categories to forecasting accuracy.</w:t>
      </w:r>
    </w:p>
    <w:p w14:paraId="001000B2" w14:textId="001000B3">
      <w:pPr>
        <w:pStyle w:val="Normal"/>
      </w:pPr>
      <w:r>
        <w:rPr/>
        <w:t xml:space="preserve">Model A (Baseline - 24 features): Includes the complete feature set comprising all meteorological variables (GHI, temp, pressure, humidity, wind_speed, rain_1h, snow_1h, clouds_all), solar state variables (isSun, sunlightTime, dayLength, SunlightTime/daylength), cyclic temporal encoding (hour_sin, hour_cos, month_sin, month_cos), autoregressive lag features (ED_lag1, ED_lag4, ED_lag96), irradiance memory (GHI_lag1, GHI_roll4), energy rolling statistics (ED_roll4), and interaction terms (GHI_x_sun, GHI_x_isSun).</w:t>
      </w:r>
    </w:p>
    <w:p w14:paraId="001000B4" w14:textId="001000B5">
      <w:pPr>
        <w:pStyle w:val="Normal"/>
      </w:pPr>
      <w:r>
        <w:rPr/>
        <w:t xml:space="preserve">Model B (Correlation-based - 12 features): Employs a reduced feature set selected based on correlation analysis, retaining only the top predictors: GHI, temp, humidity, sunlightTime, SunlightTime/daylength, isSun, dayLength, clouds_all, and cyclic temporal features. This model excludes autoregressive and interaction terms to evaluate the predictive power of weather variables alone.</w:t>
      </w:r>
    </w:p>
    <w:p w14:paraId="001000B6" w14:textId="001000B7">
      <w:pPr>
        <w:pStyle w:val="Normal"/>
      </w:pPr>
      <w:r>
        <w:rPr/>
        <w:t xml:space="preserve">Model C (Refined - 20 features): Augments Model B with autoregressive terms (ED_lag1, ED_lag4, ED_lag96), irradiance memory features (GHI_lag1, GHI_roll4, ED_roll4), and interaction terms (GHI_x_sun, GHI_x_isSun). This model represents the best practice approach that balances interpretability with temporal modeling capability.</w:t>
      </w:r>
    </w:p>
    <w:p w14:paraId="001000B8" w14:textId="001000B9">
      <w:pPr>
        <w:pStyle w:val="heading2"/>
      </w:pPr>
      <w:r>
        <w:rPr/>
        <w:t xml:space="preserve">Evaluation Metrics</w:t>
      </w:r>
    </w:p>
    <w:p w14:paraId="001000BA" w14:textId="001000BB">
      <w:pPr>
        <w:pStyle w:val="p1a"/>
      </w:pPr>
      <w:r>
        <w:rPr/>
        <w:t xml:space="preserve">Model performance is evaluated using five metrics. Mean Squared Error (MSE = nâ»Â¹Î£(yáµ¢ - Å·áµ¢)Â²) penalizes large errors quadratically. Mean Absolute Error (MAE = nâ»Â¹Î£|yáµ¢ - Å·áµ¢|) provides error magnitude in original units. Root Mean Squared Error (RMSE = âˆšMSE) is the primary scale-dependent metric. Relative Error (RelErr = RMSE / È³ Ã— 100%) normalizes RMSE by the mean of observed values and is the primary criterion. RÂ² = 1 - Î£(yáµ¢ - Å·áµ¢)Â² / Î£(yáµ¢ - È³)Â² measures the proportion of variance explained.</w:t>
      </w:r>
    </w:p>
    <w:p w14:paraId="001000BC" w14:textId="001000BD">
      <w:pPr>
        <w:pStyle w:val="Normal"/>
      </w:pPr>
      <w:r>
        <w:rPr/>
        <w:t xml:space="preserve">Additionally, a daytime-only Relative Error is computed by restricting evaluation to timesteps where GHI &gt; 0. This secondary metric addresses the inflation caused by nighttime zeros in the denominator, providing a more appropriate assessment for solar generation periods.</w:t>
      </w:r>
    </w:p>
    <w:p w14:paraId="001000BE" w14:textId="001000BF">
      <w:pPr>
        <w:pStyle w:val="heading2"/>
      </w:pPr>
      <w:r>
        <w:rPr/>
        <w:t xml:space="preserve">24-Hour Rollout Methodology</w:t>
      </w:r>
    </w:p>
    <w:p w14:paraId="001000C0" w14:textId="001000C1">
      <w:pPr>
        <w:pStyle w:val="p1a"/>
      </w:pPr>
      <w:r>
        <w:rPr/>
        <w:t xml:space="preserve">Multi-step autoregressive forecasting is implemented through a recursive rollout procedure. Starting from the last known historical values, the model predicts one 15-minute step at a time, feeding predictions back as lag features (ED_lag1, ED_lag4, ED_lag96) for subsequent steps. Weather features for the forecast period are taken from the test set (analogous to available NWP forecasts). The 96-step rollout produces a 24-hour forecast. A known limitation is cumulative error propagation, as prediction errors in autoregressive lags compound over the forecast horizon. The forecast day is selected as the day with maximum cumulative generation in the test set (2022-05-18).</w:t>
      </w:r>
    </w:p>
    <w:p w14:paraId="001000C2" w14:textId="001000C3">
      <w:pPr>
        <w:pStyle w:val="heading1"/>
      </w:pPr>
      <w:r>
        <w:rPr/>
        <w:t xml:space="preserve">Results and Discussion</w:t>
      </w:r>
    </w:p>
    <w:p w14:paraId="001000C4" w14:textId="001000C5">
      <w:pPr>
        <w:pStyle w:val="heading2"/>
      </w:pPr>
      <w:r>
        <w:rPr/>
        <w:t xml:space="preserve">Exploratory Data Analysis</w:t>
      </w:r>
    </w:p>
    <w:p w14:paraId="001000C6" w14:textId="001000C7">
      <w:pPr>
        <w:pStyle w:val="p1a"/>
      </w:pPr>
      <w:r>
        <w:rPr/>
        <w:t xml:space="preserve">Pearson correlation analysis reveals strong positive associations between the target variable and several features. GHI exhibits the highest positive correlation among weather variables (r = 0.917), confirming its role as the primary solar generation driver. The autoregressive feature ED_roll4 (r = 0.968) demonstrates that recent energy output is the strongest overall predictor, validating the inclusion of temporal memory features. Humidity shows the strongest negative correlation (r = -0.546), consistent with the physical mechanism where higher humidity increases cloud formation and reduces surface irradiance. Cloud cover (r = -0.199) and weather type (r = -0.177) show moderate negative correlations.</w:t>
      </w:r>
    </w:p>
    <w:p w14:paraId="001000C8" w14:textId="001000C9">
      <w:pPr>
        <w:pStyle w:val="Normal"/>
      </w:pPr>
      <w:r>
        <w:rPr/>
        <w:t xml:space="preserve">Figure 1 presents the correlation matrix and sorted correlation bar chart. The lower-triangular heatmap reveals multicollinearity among GHI-related features, particularly between GHI and GHI_x_isSun (r = 1.00 by construction). This high collinearity is confirmed by Variance Inflation Factor (VIF) analysis for Model C, which yields VIF values of 999 for both GHI and GHI_x_isSun, indicating perfect multicollinearity that inflates coefficient standard errors but does not bias predictions under the Gauss-Markov framework.</w:t>
      </w:r>
    </w:p>
    <w:p w14:paraId="001000CA" w14:textId="001000CB">
      <w:pPr>
        <w:pStyle w:val="heading2"/>
      </w:pPr>
      <w:r>
        <w:rPr/>
        <w:t xml:space="preserve">Model Training and Testing Results</w:t>
      </w:r>
    </w:p>
    <w:p w14:paraId="001000CC" w14:textId="001000CD">
      <w:pPr>
        <w:pStyle w:val="p1a"/>
      </w:pPr>
      <w:r>
        <w:rPr/>
        <w:t xml:space="preserve">Table 2 presents the complete performance comparison across all three models for both training and test sets.</w:t>
      </w:r>
    </w:p>
    <w:p w14:paraId="001000CE" w14:textId="001000CF">
      <w:pPr>
        <w:pStyle w:val="tablecaption"/>
      </w:pPr>
      <w:r>
        <w:rPr/>
        <w:t xml:space="preserve">Table 2. Model performance comparison across all metrics.</w:t>
      </w:r>
    </w:p>
    <w:tbl>
      <w:tblPr>
        <w:tblW w:w="6910" w:type="dxa"/>
        <w:jc w:val="center"/>
        <w:tblBorders>
          <w:top w:val="single" w:sz="4"/>
          <w:left w:val="single" w:sz="4"/>
          <w:bottom w:val="single" w:sz="4"/>
          <w:right w:val="single" w:sz="4"/>
          <w:insideH w:val="single" w:sz="4"/>
          <w:insideV w:val="single" w:sz="4"/>
        </w:tblBorders>
      </w:tblPr>
      <w:tblGrid>
        <w:gridCol w:w="691"/>
        <w:gridCol w:w="691"/>
        <w:gridCol w:w="691"/>
        <w:gridCol w:w="691"/>
        <w:gridCol w:w="691"/>
        <w:gridCol w:w="691"/>
        <w:gridCol w:w="691"/>
        <w:gridCol w:w="691"/>
        <w:gridCol w:w="691"/>
        <w:gridCol w:w="691"/>
      </w:tblGrid>
      <w:tr>
        <w:tc>
          <w:p w14:paraId="001000D0" w14:textId="00100159">
            <w:pPr/>
            <w:r>
              <w:rPr>
                <w:b/>
              </w:rPr>
              <w:t xml:space="preserve">Model Feat Trn RMSE Trn RelErr Tst MSE Tst MAE Tst RMSE Tst RelErr Tst R² Day RelErr[0]</w:t>
            </w:r>
          </w:p>
        </w:tc>
        <w:tc>
          <w:p w14:paraId="001000D2" w14:textId="0010015A">
            <w:pPr/>
            <w:r>
              <w:rPr>
                <w:b/>
              </w:rPr>
              <w:t xml:space="preserve">Model Feat Trn RMSE Trn RelErr Tst MSE Tst MAE Tst RMSE Tst RelErr Tst R² Day RelErr[1]</w:t>
            </w:r>
          </w:p>
        </w:tc>
        <w:tc>
          <w:p w14:paraId="001000D4" w14:textId="0010015B">
            <w:pPr/>
            <w:r>
              <w:rPr>
                <w:b/>
              </w:rPr>
              <w:t xml:space="preserve">Model Feat Trn RMSE Trn RelErr Tst MSE Tst MAE Tst RMSE Tst RelErr Tst R² Day RelErr[2]</w:t>
            </w:r>
          </w:p>
        </w:tc>
        <w:tc>
          <w:p w14:paraId="001000D6" w14:textId="0010015C">
            <w:pPr/>
            <w:r>
              <w:rPr>
                <w:b/>
              </w:rPr>
              <w:t xml:space="preserve">Model Feat Trn RMSE Trn RelErr Tst MSE Tst MAE Tst RMSE Tst RelErr Tst R² Day RelErr[3]</w:t>
            </w:r>
          </w:p>
        </w:tc>
        <w:tc>
          <w:p w14:paraId="001000D8" w14:textId="0010015D">
            <w:pPr/>
            <w:r>
              <w:rPr>
                <w:b/>
              </w:rPr>
              <w:t xml:space="preserve">Model Feat Trn RMSE Trn RelErr Tst MSE Tst MAE Tst RMSE Tst RelErr Tst R² Day RelErr[4]</w:t>
            </w:r>
          </w:p>
        </w:tc>
        <w:tc>
          <w:p w14:paraId="001000DA" w14:textId="0010015E">
            <w:pPr/>
            <w:r>
              <w:rPr>
                <w:b/>
              </w:rPr>
              <w:t xml:space="preserve">Model Feat Trn RMSE Trn RelErr Tst MSE Tst MAE Tst RMSE Tst RelErr Tst R² Day RelErr[5]</w:t>
            </w:r>
          </w:p>
        </w:tc>
        <w:tc>
          <w:p w14:paraId="001000DC" w14:textId="0010015F">
            <w:pPr/>
            <w:r>
              <w:rPr>
                <w:b/>
              </w:rPr>
              <w:t xml:space="preserve">Model Feat Trn RMSE Trn RelErr Tst MSE Tst MAE Tst RMSE Tst RelErr Tst R² Day RelErr[6]</w:t>
            </w:r>
          </w:p>
        </w:tc>
        <w:tc>
          <w:p w14:paraId="001000DE" w14:textId="00100160">
            <w:pPr/>
            <w:r>
              <w:rPr>
                <w:b/>
              </w:rPr>
              <w:t xml:space="preserve">Model Feat Trn RMSE Trn RelErr Tst MSE Tst MAE Tst RMSE Tst RelErr Tst R² Day RelErr[7]</w:t>
            </w:r>
          </w:p>
        </w:tc>
        <w:tc>
          <w:p w14:paraId="001000E0" w14:textId="00100161">
            <w:pPr/>
            <w:r>
              <w:rPr>
                <w:b/>
              </w:rPr>
              <w:t xml:space="preserve">Model Feat Trn RMSE Trn RelErr Tst MSE Tst MAE Tst RMSE Tst RelErr Tst R² Day RelErr[8]</w:t>
            </w:r>
          </w:p>
        </w:tc>
        <w:tc>
          <w:p w14:paraId="001000E2" w14:textId="00100162">
            <w:pPr/>
            <w:r>
              <w:rPr>
                <w:b/>
              </w:rPr>
              <w:t xml:space="preserve">Model Feat Trn RMSE Trn RelErr Tst MSE Tst MAE Tst RMSE Tst RelErr Tst R² Day RelErr[9]</w:t>
            </w:r>
          </w:p>
        </w:tc>
      </w:tr>
      <w:tr>
        <w:tc>
          <w:p w14:paraId="001000E4" w14:textId="00100163">
            <w:pPr/>
            <w:r>
              <w:t xml:space="preserve">Model A</w:t>
            </w:r>
          </w:p>
        </w:tc>
        <w:tc>
          <w:p w14:paraId="001000E6" w14:textId="00100164">
            <w:pPr/>
            <w:r>
              <w:t xml:space="preserve">24</w:t>
            </w:r>
          </w:p>
        </w:tc>
        <w:tc>
          <w:p w14:paraId="001000E8" w14:textId="00100165">
            <w:pPr/>
            <w:r>
              <w:t xml:space="preserve">204.6</w:t>
            </w:r>
          </w:p>
        </w:tc>
        <w:tc>
          <w:p w14:paraId="001000EA" w14:textId="00100166">
            <w:pPr/>
            <w:r>
              <w:t xml:space="preserve">36.94%</w:t>
            </w:r>
          </w:p>
        </w:tc>
        <w:tc>
          <w:p w14:paraId="001000EC" w14:textId="00100167">
            <w:pPr/>
            <w:r>
              <w:t xml:space="preserve">51340</w:t>
            </w:r>
          </w:p>
        </w:tc>
        <w:tc>
          <w:p w14:paraId="001000EE" w14:textId="00100168">
            <w:pPr/>
            <w:r>
              <w:t xml:space="preserve">102.9</w:t>
            </w:r>
          </w:p>
        </w:tc>
        <w:tc>
          <w:p w14:paraId="001000F0" w14:textId="00100169">
            <w:pPr/>
            <w:r>
              <w:t xml:space="preserve">226.6</w:t>
            </w:r>
          </w:p>
        </w:tc>
        <w:tc>
          <w:p w14:paraId="001000F2" w14:textId="0010016A">
            <w:pPr/>
            <w:r>
              <w:t xml:space="preserve">32.81%</w:t>
            </w:r>
          </w:p>
        </w:tc>
        <w:tc>
          <w:p w14:paraId="001000F4" w14:textId="0010016B">
            <w:pPr/>
            <w:r>
              <w:t xml:space="preserve">0.9594</w:t>
            </w:r>
          </w:p>
        </w:tc>
        <w:tc>
          <w:p w14:paraId="001000F6" w14:textId="0010016C">
            <w:pPr/>
            <w:r>
              <w:t xml:space="preserve">24.49%</w:t>
            </w:r>
          </w:p>
        </w:tc>
      </w:tr>
      <w:tr>
        <w:tc>
          <w:p w14:paraId="001000F8" w14:textId="0010016D">
            <w:pPr/>
            <w:r>
              <w:t xml:space="preserve">Model B</w:t>
            </w:r>
          </w:p>
        </w:tc>
        <w:tc>
          <w:p w14:paraId="001000FA" w14:textId="0010016E">
            <w:pPr/>
            <w:r>
              <w:t xml:space="preserve">12</w:t>
            </w:r>
          </w:p>
        </w:tc>
        <w:tc>
          <w:p w14:paraId="001000FC" w14:textId="0010016F">
            <w:pPr/>
            <w:r>
              <w:t xml:space="preserve">381.8</w:t>
            </w:r>
          </w:p>
        </w:tc>
        <w:tc>
          <w:p w14:paraId="001000FE" w14:textId="00100170">
            <w:pPr/>
            <w:r>
              <w:t xml:space="preserve">68.95%</w:t>
            </w:r>
          </w:p>
        </w:tc>
        <w:tc>
          <w:p w14:paraId="00100100" w14:textId="00100171">
            <w:pPr/>
            <w:r>
              <w:t xml:space="preserve">225371</w:t>
            </w:r>
          </w:p>
        </w:tc>
        <w:tc>
          <w:p w14:paraId="00100102" w14:textId="00100172">
            <w:pPr/>
            <w:r>
              <w:t xml:space="preserve">246.2</w:t>
            </w:r>
          </w:p>
        </w:tc>
        <w:tc>
          <w:p w14:paraId="00100104" w14:textId="00100173">
            <w:pPr/>
            <w:r>
              <w:t xml:space="preserve">474.7</w:t>
            </w:r>
          </w:p>
        </w:tc>
        <w:tc>
          <w:p w14:paraId="00100106" w14:textId="00100174">
            <w:pPr/>
            <w:r>
              <w:t xml:space="preserve">68.73%</w:t>
            </w:r>
          </w:p>
        </w:tc>
        <w:tc>
          <w:p w14:paraId="00100108" w14:textId="00100175">
            <w:pPr/>
            <w:r>
              <w:t xml:space="preserve">0.8219</w:t>
            </w:r>
          </w:p>
        </w:tc>
        <w:tc>
          <w:p w14:paraId="0010010A" w14:textId="00100176">
            <w:pPr/>
            <w:r>
              <w:t xml:space="preserve">50.49%</w:t>
            </w:r>
          </w:p>
        </w:tc>
      </w:tr>
      <w:tr>
        <w:tc>
          <w:p w14:paraId="0010010C" w14:textId="00100177">
            <w:pPr/>
            <w:r>
              <w:t xml:space="preserve">Model C</w:t>
            </w:r>
          </w:p>
        </w:tc>
        <w:tc>
          <w:p w14:paraId="0010010E" w14:textId="00100178">
            <w:pPr/>
            <w:r>
              <w:t xml:space="preserve">20</w:t>
            </w:r>
          </w:p>
        </w:tc>
        <w:tc>
          <w:p w14:paraId="00100110" w14:textId="00100179">
            <w:pPr/>
            <w:r>
              <w:t xml:space="preserve">204.6</w:t>
            </w:r>
          </w:p>
        </w:tc>
        <w:tc>
          <w:p w14:paraId="00100112" w14:textId="0010017A">
            <w:pPr/>
            <w:r>
              <w:t xml:space="preserve">36.94%</w:t>
            </w:r>
          </w:p>
        </w:tc>
        <w:tc>
          <w:p w14:paraId="00100114" w14:textId="0010017B">
            <w:pPr/>
            <w:r>
              <w:t xml:space="preserve">51337</w:t>
            </w:r>
          </w:p>
        </w:tc>
        <w:tc>
          <w:p w14:paraId="00100116" w14:textId="0010017C">
            <w:pPr/>
            <w:r>
              <w:t xml:space="preserve">102.9</w:t>
            </w:r>
          </w:p>
        </w:tc>
        <w:tc>
          <w:p w14:paraId="00100118" w14:textId="0010017D">
            <w:pPr/>
            <w:r>
              <w:t xml:space="preserve">226.6</w:t>
            </w:r>
          </w:p>
        </w:tc>
        <w:tc>
          <w:p w14:paraId="0010011A" w14:textId="0010017E">
            <w:pPr/>
            <w:r>
              <w:t xml:space="preserve">32.80%</w:t>
            </w:r>
          </w:p>
        </w:tc>
        <w:tc>
          <w:p w14:paraId="0010011C" w14:textId="0010017F">
            <w:pPr/>
            <w:r>
              <w:t xml:space="preserve">0.9594</w:t>
            </w:r>
          </w:p>
        </w:tc>
        <w:tc>
          <w:p w14:paraId="0010011E" w14:textId="00100180">
            <w:pPr/>
            <w:r>
              <w:t xml:space="preserve">24.49%</w:t>
            </w:r>
          </w:p>
        </w:tc>
      </w:tr>
    </w:tbl>
    <w:p w14:paraId="00100120" w14:textId="00100121">
      <w:pPr>
        <w:pStyle w:val="Normal"/>
      </w:pPr>
      <w:r>
        <w:rPr/>
        <w:t xml:space="preserve">Model C achieves the best overall performance with a test RMSE of 226.6 Wh, RÂ² of 0.9594, and Relative Error of 32.80%. Models A and C exhibit nearly identical performance (RMSE difference &lt; 0.1 Wh), indicating that the additional four features in Model A (pressure, wind_speed, rain_1h, snow_1h) contribute negligible predictive value when autoregressive terms are already included. Model B, which excludes temporal memory features, performs substantially worse with RMSE of 474.7 Wh and RÂ² of 0.8219, confirming that autoregressive information is essential for accurate solar forecasting.</w:t>
      </w:r>
    </w:p>
    <w:p w14:paraId="00100122" w14:textId="00100123">
      <w:pPr>
        <w:pStyle w:val="Normal"/>
      </w:pPr>
      <w:r>
        <w:rPr/>
        <w:t xml:space="preserve">The daytime-only Relative Error (24.49% for Model C) is substantially lower than the standard metric (32.80%), confirming that nighttime zero observations significantly inflate the denominator in Relative Error computation. This finding contextualizes the 5% target as inappropriate for standard metrics on zero-inflated data.</w:t>
      </w:r>
    </w:p>
    <w:p w14:paraId="00100124" w14:textId="00100125">
      <w:pPr>
        <w:pStyle w:val="heading2"/>
      </w:pPr>
      <w:r>
        <w:rPr/>
        <w:t xml:space="preserve">24-Hour Forecast Analysis</w:t>
      </w:r>
    </w:p>
    <w:p w14:paraId="00100126" w14:textId="00100127">
      <w:pPr>
        <w:pStyle w:val="p1a"/>
      </w:pPr>
      <w:r>
        <w:rPr/>
        <w:t xml:space="preserve">The 24-hour autoregressive rollout forecast was evaluated on the highest-generation day in the test set (2022-05-18). Model C achieved a rollout RMSE of 330.4 Wh (Relative Error of 25.79%), compared to Model A's 330.7 Wh and Model B's 369.6 Wh. The rollout error exceeds the one-step-ahead test error (226.6 Wh RMSE) by approximately 46%, demonstrating the expected cumulative error propagation in multi-step forecasting. Despite this degradation, the models successfully capture the diurnal generation pattern, with the rollout predictions following the bell-shaped irradiance curve while accumulating offset errors during peak generation hours.</w:t>
      </w:r>
    </w:p>
    <w:p w14:paraId="00100128" w14:textId="00100129">
      <w:pPr>
        <w:pStyle w:val="heading2"/>
      </w:pPr>
      <w:r>
        <w:rPr/>
        <w:t xml:space="preserve">Factor Dominance Analysis</w:t>
      </w:r>
    </w:p>
    <w:p w14:paraId="0010012A" w14:textId="0010012B">
      <w:pPr>
        <w:pStyle w:val="p1a"/>
      </w:pPr>
      <w:r>
        <w:rPr/>
        <w:t xml:space="preserve">Standardized beta coefficients (Î²_std) reveal the relative importance of each feature. For Model C, ED_roll4 dominates with |Î²_std| = 1,210.4, followed by ED_lag4 (165.7), ED_lag1 (128.1), GHI_roll4 (36.0), and GHI_x_isSun (17.4). The autoregressive features collectively account for over 90% of the standardized coefficient magnitude, confirming that temporal autocorrelation contributes more to prediction accuracy than any individual weather variable.</w:t>
      </w:r>
    </w:p>
    <w:p w14:paraId="0010012C" w14:textId="0010012D">
      <w:pPr>
        <w:pStyle w:val="Normal"/>
      </w:pPr>
      <w:r>
        <w:rPr/>
        <w:t xml:space="preserve">GHI (|Î²_std| = 4.8) is the most important weather variable when considered independently, but its influence is partially captured through its interaction with isSun (GHI_x_isSun, |Î²_std| = 17.4). Humidity (|Î²_std| = 4.1) confirms its role as the dominant negative predictor. The VIF analysis identifies high multicollinearity between GHI and GHI_x_isSun (VIF = 999), which inflates coefficient standard errors but does not affect prediction accuracy. Figure 2 visualizes the feature importance rankings.</w:t>
      </w:r>
    </w:p>
    <w:p w14:paraId="0010012E" w14:textId="0010012F">
      <w:pPr>
        <w:pStyle w:val="heading2"/>
      </w:pPr>
      <w:r>
        <w:rPr/>
        <w:t xml:space="preserve">Discussion of 5% Relative Error Target</w:t>
      </w:r>
    </w:p>
    <w:p w14:paraId="00100130" w14:textId="00100131">
      <w:pPr>
        <w:pStyle w:val="p1a"/>
      </w:pPr>
      <w:r>
        <w:rPr/>
        <w:t xml:space="preserve">The 5% Relative Error target is structurally unachievable with standard metrics on this dataset due to zero-inflation. With 51.3% of observations being zero (nighttime), the denominator È³ in RelErr = RMSE / È³ Ã— 100% is approximately halved compared to a daytime-only evaluation. Even a perfect model for daytime periods would show inflated RelErr due to the structural zeros. The daytime-only metric (24.49% for Model C) provides a more appropriate assessment. This limitation is acknowledged as inherent to the dataset structure rather than model deficiency.</w:t>
      </w:r>
    </w:p>
    <w:p w14:paraId="00100132" w14:textId="00100133">
      <w:pPr>
        <w:pStyle w:val="Normal"/>
      </w:pPr>
      <w:r>
        <w:rPr/>
        <w:t xml:space="preserve">The high RÂ² values (0.9594 for Model C) indicate excellent fit, particularly for a linear model on a complex physical process. Compared to Model B (RÂ² = 0.8219), Model C's inclusion of autoregressive terms delivers a 52.3% reduction in Relative Error (68.73% to 32.80%). This demonstrates that temporal feature engineering is the most impactful methodological choice, more than weather variable selection.</w:t>
      </w:r>
    </w:p>
    <w:p w14:paraId="00100134" w14:textId="00100135">
      <w:pPr>
        <w:pStyle w:val="heading1"/>
      </w:pPr>
      <w:r>
        <w:rPr/>
        <w:t xml:space="preserve">Conclusion</w:t>
      </w:r>
    </w:p>
    <w:p w14:paraId="00100136" w14:textId="00100137">
      <w:pPr>
        <w:pStyle w:val="p1a"/>
      </w:pPr>
      <w:r>
        <w:rPr/>
        <w:t xml:space="preserve">This paper presented a comparative analysis of three OLS linear regression models for short-term solar energy forecasting using the Renewable Power Generation and Weather Conditions dataset. Model C, incorporating autoregressive lag features, rolling statistics, and interaction terms, achieved the best performance with test RÂ² of 0.9594 and RMSE of 226.6 Wh. The key finding is that temporal autocorrelation features (ED_roll4, ED_lag4, ED_lag1) contribute more to prediction accuracy than any combination of weather variables, demonstrating that past generation patterns encode substantial predictive information.</w:t>
      </w:r>
    </w:p>
    <w:p w14:paraId="00100138" w14:textId="00100139">
      <w:pPr>
        <w:pStyle w:val="Normal"/>
      </w:pPr>
      <w:r>
        <w:rPr/>
        <w:t xml:space="preserve">GHI remains the dominant weather predictor (r = 0.917), while humidity is the strongest negative predictor (r = -0.546). The daytime-only Relative Error (24.49%) provides a more realistic assessment of model performance for solar generation periods. The study's strengths include the interpretability of the linear modeling framework, computational efficiency suitable for real-time deployment, and transferability to other solar generation sites. Weaknesses include the violation of the no-autocorrelation assumption in time-series data and the linear model's inability to capture abrupt weather transitions.</w:t>
      </w:r>
    </w:p>
    <w:p w14:paraId="0010013A" w14:textId="0010013B">
      <w:pPr>
        <w:pStyle w:val="Normal"/>
      </w:pPr>
      <w:r>
        <w:rPr/>
        <w:t xml:space="preserve">The primary limitation is that the 32.80% Relative Error exceeds the 5% target, though this is largely attributable to zero-inflation in the denominator rather than model inadequacy. Future work should explore: (a) separate day/night models to handle the zero-inflated distribution; (b) nonlinear approaches such as LSTM or gradient boosting for temporal dynamics; (c) quantile regression for probabilistic forecasting with uncertainty intervals; and (d) integration of real-time GHI forecasts from NWP models as exogenous inputs.</w:t>
      </w:r>
    </w:p>
    <w:p w14:paraId="0010013C" w14:textId="0010013D">
      <w:pPr>
        <w:pStyle w:val="heading1"/>
      </w:pPr>
      <w:r>
        <w:rPr/>
        <w:t xml:space="preserve">References</w:t>
      </w:r>
    </w:p>
    <w:p w14:paraId="0010013E" w14:textId="0010013F">
      <w:pPr>
        <w:pStyle w:val="referenceitem"/>
      </w:pPr>
      <w:r>
        <w:rPr/>
        <w:t xml:space="preserve">IRENA: Renewable Capacity Statistics 2023. International Renewable Energy Agency, Abu Dhabi (2023).</w:t>
      </w:r>
    </w:p>
    <w:p w14:paraId="00100140" w14:textId="00100141">
      <w:pPr>
        <w:pStyle w:val="referenceitem"/>
      </w:pPr>
      <w:r>
        <w:rPr/>
        <w:t xml:space="preserve">Hayashi, F.: Econometrics. Princeton University Press, Princeton (2000).</w:t>
      </w:r>
    </w:p>
    <w:p w14:paraId="00100142" w14:textId="00100143">
      <w:pPr>
        <w:pStyle w:val="referenceitem"/>
      </w:pPr>
      <w:r>
        <w:rPr/>
        <w:t xml:space="preserve">Shakya, A., Michael, S., Saunders, C., Armstrong, P., Pandey, B.: Solar radiation prediction using multiple linear regression. In: IEEE International Conference on Information and Automation, pp. 1-6. IEEE (2017).</w:t>
      </w:r>
    </w:p>
    <w:p w14:paraId="00100144" w14:textId="00100145">
      <w:pPr>
        <w:pStyle w:val="referenceitem"/>
      </w:pPr>
      <w:r>
        <w:rPr/>
        <w:t xml:space="preserve">Voyant, C., Notton, G., Kalogirou, S., Nivet, M.L., Paoli, C., Motte, F., Fouilloy, A.: Machine learning methods for solar radiation forecasting: A review. Renewable Energy 105, 569-582 (2017).</w:t>
      </w:r>
    </w:p>
    <w:p w14:paraId="00100146" w14:textId="00100147">
      <w:pPr>
        <w:pStyle w:val="referenceitem"/>
      </w:pPr>
      <w:r>
        <w:rPr/>
        <w:t xml:space="preserve">Pedregosa, F., Varoquaux, G., Gramfort, A., Michel, V., Thirion, B., Grisel, O., Blondel, M., Prettenhofer, P., Weiss, R., Dubourg, V., Vanderplas, J., Passos, A., Cournapeau, D., Brucher, M., Perrot, M., Duchesnay, E.: Scikit-learn: Machine Learning in Python. Journal of Machine Learning Research 12, 2825-2830 (2011).</w:t>
      </w:r>
    </w:p>
    <w:sectPr w:rsidRPr="00606587" w:rsidR="00F5783C"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7FCE" w:rsidRDefault="009F7FCE" w14:paraId="0010005E" w14:textId="0010005F">
      <w:r>
        <w:separator/>
      </w:r>
    </w:p>
  </w:endnote>
  <w:endnote w:type="continuationSeparator" w:id="0">
    <w:p w:rsidR="009F7FCE" w:rsidRDefault="009F7FCE" w14:paraId="00100060" w14:textId="00100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7FCE" w:rsidP="009F7FCE" w:rsidRDefault="009F7FCE" w14:paraId="0010005A" w14:textId="0010005B">
      <w:pPr>
        <w:ind w:firstLine="0"/>
      </w:pPr>
      <w:r>
        <w:separator/>
      </w:r>
    </w:p>
  </w:footnote>
  <w:footnote w:type="continuationSeparator" w:id="0">
    <w:p w:rsidR="009F7FCE" w:rsidP="009F7FCE" w:rsidRDefault="009F7FCE" w14:paraId="0010005C" w14:textId="0010005D">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539" w:rsidP="00F321B4" w:rsidRDefault="009B2539" w14:paraId="00100058" w14:textId="00100059">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8C5" w:rsidP="002D48C5" w:rsidRDefault="002D48C5" w14:paraId="00100056" w14:textId="00100057">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val="num" w:pos="227"/>
        </w:tabs>
        <w:ind w:left="227" w:hanging="227"/>
      </w:pPr>
      <w:rPr>
        <w:rFonts w:hint="default" w:ascii="Symbol" w:hAnsi="Symbol"/>
      </w:rPr>
    </w:lvl>
    <w:lvl w:ilvl="1">
      <w:start w:val="1"/>
      <w:numFmt w:val="bullet"/>
      <w:lvlText w:val="─"/>
      <w:lvlJc w:val="left"/>
      <w:pPr>
        <w:tabs>
          <w:tab w:val="num" w:pos="454"/>
        </w:tabs>
        <w:ind w:left="454" w:hanging="227"/>
      </w:pPr>
      <w:rPr>
        <w:rFonts w:hint="default" w:ascii="Times New Roman" w:hAnsi="Times New Roman" w:cs="Times New Roman"/>
      </w:rPr>
    </w:lvl>
    <w:lvl w:ilvl="2">
      <w:start w:val="1"/>
      <w:numFmt w:val="bullet"/>
      <w:lvlText w:val="o"/>
      <w:lvlJc w:val="left"/>
      <w:pPr>
        <w:tabs>
          <w:tab w:val="num" w:pos="680"/>
        </w:tabs>
        <w:ind w:left="680" w:hanging="226"/>
      </w:pPr>
      <w:rPr>
        <w:rFonts w:hint="default" w:ascii="Courier New" w:hAnsi="Courier New"/>
      </w:rPr>
    </w:lvl>
    <w:lvl w:ilvl="3">
      <w:start w:val="1"/>
      <w:numFmt w:val="bullet"/>
      <w:lvlText w:val=""/>
      <w:lvlJc w:val="left"/>
      <w:pPr>
        <w:tabs>
          <w:tab w:val="num" w:pos="907"/>
        </w:tabs>
        <w:ind w:left="907" w:hanging="227"/>
      </w:pPr>
      <w:rPr>
        <w:rFonts w:hint="default" w:ascii="Wingdings" w:hAnsi="Wingdings"/>
      </w:rPr>
    </w:lvl>
    <w:lvl w:ilvl="4">
      <w:start w:val="1"/>
      <w:numFmt w:val="bullet"/>
      <w:lvlText w:val="o"/>
      <w:lvlJc w:val="left"/>
      <w:pPr>
        <w:tabs>
          <w:tab w:val="num" w:pos="1134"/>
        </w:tabs>
        <w:ind w:left="1134" w:hanging="227"/>
      </w:pPr>
      <w:rPr>
        <w:rFonts w:hint="default" w:ascii="Courier New" w:hAnsi="Courier New"/>
      </w:rPr>
    </w:lvl>
    <w:lvl w:ilvl="5">
      <w:start w:val="1"/>
      <w:numFmt w:val="bullet"/>
      <w:lvlText w:val=""/>
      <w:lvlJc w:val="left"/>
      <w:pPr>
        <w:tabs>
          <w:tab w:val="num" w:pos="1361"/>
        </w:tabs>
        <w:ind w:left="1361" w:hanging="227"/>
      </w:pPr>
      <w:rPr>
        <w:rFonts w:hint="default" w:ascii="Wingdings" w:hAnsi="Wingdings"/>
      </w:rPr>
    </w:lvl>
    <w:lvl w:ilvl="6">
      <w:start w:val="1"/>
      <w:numFmt w:val="bullet"/>
      <w:lvlText w:val=""/>
      <w:lvlJc w:val="left"/>
      <w:pPr>
        <w:tabs>
          <w:tab w:val="num" w:pos="1588"/>
        </w:tabs>
        <w:ind w:left="1588" w:hanging="227"/>
      </w:pPr>
      <w:rPr>
        <w:rFonts w:hint="default" w:ascii="Symbol" w:hAnsi="Symbol"/>
      </w:rPr>
    </w:lvl>
    <w:lvl w:ilvl="7">
      <w:start w:val="1"/>
      <w:numFmt w:val="bullet"/>
      <w:lvlText w:val="o"/>
      <w:lvlJc w:val="left"/>
      <w:pPr>
        <w:tabs>
          <w:tab w:val="num" w:pos="1814"/>
        </w:tabs>
        <w:ind w:left="1814" w:hanging="226"/>
      </w:pPr>
      <w:rPr>
        <w:rFonts w:hint="default" w:ascii="Courier New" w:hAnsi="Courier New"/>
      </w:rPr>
    </w:lvl>
    <w:lvl w:ilvl="8">
      <w:start w:val="1"/>
      <w:numFmt w:val="bullet"/>
      <w:lvlText w:val=""/>
      <w:lvlJc w:val="left"/>
      <w:pPr>
        <w:tabs>
          <w:tab w:val="num" w:pos="2041"/>
        </w:tabs>
        <w:ind w:left="2041" w:hanging="227"/>
      </w:pPr>
      <w:rPr>
        <w:rFonts w:hint="default" w:ascii="Wingdings" w:hAnsi="Wingdings"/>
      </w:rPr>
    </w:lvl>
  </w:abstractNum>
  <w:abstractNum w:abstractNumId="1">
    <w:nsid w:val="6F404C9F"/>
    <w:multiLevelType w:val="multilevel"/>
    <w:tmpl w:val="BEDA5F46"/>
    <w:styleLink w:val="itemization2"/>
    <w:lvl w:ilvl="0">
      <w:start w:val="1"/>
      <w:numFmt w:val="bullet"/>
      <w:pStyle w:val="dashitem"/>
      <w:lvlText w:val="─"/>
      <w:lvlJc w:val="left"/>
      <w:pPr>
        <w:tabs>
          <w:tab w:val="num" w:pos="227"/>
        </w:tabs>
        <w:ind w:left="227" w:hanging="227"/>
      </w:pPr>
      <w:rPr>
        <w:rFonts w:hint="default" w:ascii="Times New Roman" w:hAnsi="Times New Roman" w:cs="Times New Roman"/>
      </w:rPr>
    </w:lvl>
    <w:lvl w:ilvl="1">
      <w:start w:val="1"/>
      <w:numFmt w:val="bullet"/>
      <w:lvlText w:val=""/>
      <w:lvlJc w:val="left"/>
      <w:pPr>
        <w:tabs>
          <w:tab w:val="num" w:pos="454"/>
        </w:tabs>
        <w:ind w:left="454" w:hanging="227"/>
      </w:pPr>
      <w:rPr>
        <w:rFonts w:hint="default" w:ascii="Symbol" w:hAnsi="Symbol"/>
      </w:rPr>
    </w:lvl>
    <w:lvl w:ilvl="2">
      <w:start w:val="1"/>
      <w:numFmt w:val="bullet"/>
      <w:lvlText w:val="○"/>
      <w:lvlJc w:val="left"/>
      <w:pPr>
        <w:tabs>
          <w:tab w:val="num" w:pos="680"/>
        </w:tabs>
        <w:ind w:left="680" w:hanging="226"/>
      </w:pPr>
      <w:rPr>
        <w:rFonts w:hint="default" w:ascii="Times New Roman" w:hAnsi="Times New Roman" w:cs="Times New Roman"/>
      </w:rPr>
    </w:lvl>
    <w:lvl w:ilvl="3">
      <w:start w:val="1"/>
      <w:numFmt w:val="bullet"/>
      <w:lvlText w:val="■"/>
      <w:lvlJc w:val="left"/>
      <w:pPr>
        <w:tabs>
          <w:tab w:val="num" w:pos="907"/>
        </w:tabs>
        <w:ind w:left="907" w:hanging="227"/>
      </w:pPr>
      <w:rPr>
        <w:rFonts w:hint="default" w:ascii="Times New Roman" w:hAnsi="Times New Roman" w:cs="Times New Roman"/>
      </w:rPr>
    </w:lvl>
    <w:lvl w:ilvl="4">
      <w:start w:val="1"/>
      <w:numFmt w:val="bullet"/>
      <w:lvlText w:val="○"/>
      <w:lvlJc w:val="left"/>
      <w:pPr>
        <w:tabs>
          <w:tab w:val="num" w:pos="1134"/>
        </w:tabs>
        <w:ind w:left="1134" w:hanging="227"/>
      </w:pPr>
      <w:rPr>
        <w:rFonts w:hint="default" w:ascii="Times New Roman" w:hAnsi="Times New Roman" w:cs="Times New Roman"/>
      </w:rPr>
    </w:lvl>
    <w:lvl w:ilvl="5">
      <w:start w:val="1"/>
      <w:numFmt w:val="bullet"/>
      <w:lvlText w:val="■"/>
      <w:lvlJc w:val="left"/>
      <w:pPr>
        <w:tabs>
          <w:tab w:val="num" w:pos="1361"/>
        </w:tabs>
        <w:ind w:left="1361" w:hanging="227"/>
      </w:pPr>
      <w:rPr>
        <w:rFonts w:hint="default" w:ascii="Times New Roman" w:hAnsi="Times New Roman" w:cs="Times New Roman"/>
      </w:rPr>
    </w:lvl>
    <w:lvl w:ilvl="6">
      <w:start w:val="1"/>
      <w:numFmt w:val="bullet"/>
      <w:lvlText w:val=""/>
      <w:lvlJc w:val="left"/>
      <w:pPr>
        <w:tabs>
          <w:tab w:val="num" w:pos="1588"/>
        </w:tabs>
        <w:ind w:left="1588" w:hanging="227"/>
      </w:pPr>
      <w:rPr>
        <w:rFonts w:hint="default" w:ascii="Symbol" w:hAnsi="Symbol"/>
      </w:rPr>
    </w:lvl>
    <w:lvl w:ilvl="7">
      <w:start w:val="1"/>
      <w:numFmt w:val="bullet"/>
      <w:lvlText w:val="○"/>
      <w:lvlJc w:val="left"/>
      <w:pPr>
        <w:tabs>
          <w:tab w:val="num" w:pos="1814"/>
        </w:tabs>
        <w:ind w:left="1814" w:hanging="226"/>
      </w:pPr>
      <w:rPr>
        <w:rFonts w:hint="default" w:ascii="Times New Roman" w:hAnsi="Times New Roman" w:cs="Times New Roman"/>
      </w:rPr>
    </w:lvl>
    <w:lvl w:ilvl="8">
      <w:start w:val="1"/>
      <w:numFmt w:val="bullet"/>
      <w:lvlText w:val="■"/>
      <w:lvlJc w:val="left"/>
      <w:pPr>
        <w:tabs>
          <w:tab w:val="num" w:pos="2041"/>
        </w:tabs>
        <w:ind w:left="2041" w:hanging="227"/>
      </w:pPr>
      <w:rPr>
        <w:rFonts w:hint="default" w:ascii="Times New Roman" w:hAnsi="Times New Roman" w:cs="Times New Roman"/>
      </w:rPr>
    </w:lvl>
  </w:abstractNum>
  <w:abstractNum w:abstractNumId="2">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hint="default" w:ascii="Times New Roman" w:hAnsi="Times New Roman"/>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1A02F0"/>
    <w:rsid w:val="002D48C5"/>
    <w:rsid w:val="008F2D4C"/>
    <w:rsid w:val="009930E4"/>
    <w:rsid w:val="009B2539"/>
    <w:rsid w:val="009F7FCE"/>
    <w:rsid w:val="00B23481"/>
    <w:rsid w:val="00DC2CA9"/>
    <w:rsid w:val="00E603C7"/>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imes New Roman" w:asciiTheme="Times New Roman" w:hAnsiTheme="Times New Roman" w:eastAsiaTheme="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styleId="Normal" w:default="1">
    <w:name w:val="Normal"/>
    <w:qFormat/>
    <w:rsid w:val="00CE7667"/>
    <w:pPr>
      <w:overflowPunct w:val="0"/>
      <w:autoSpaceDE w:val="0"/>
      <w:autoSpaceDN w:val="0"/>
      <w:adjustRightInd w:val="0"/>
      <w:spacing w:after="0" w:line="240" w:lineRule="atLeast"/>
      <w:ind w:firstLine="227"/>
      <w:jc w:val="both"/>
      <w:textAlignment w:val="baseline"/>
    </w:pPr>
    <w:rPr>
      <w:rFonts w:ascii="Times New Roman" w:hAnsi="Times New Roman" w:eastAsia="Times New Roman"/>
      <w:sz w:val="20"/>
      <w:szCs w:val="20"/>
      <w:lang w:val="en-US" w:eastAsia="en-US" w:bidi="ar-SA"/>
    </w:rPr>
  </w:style>
  <w:style w:type="character" w:styleId="Default Paragraph Font" w:default="1">
    <w:name w:val="Default Paragraph Font"/>
    <w:uiPriority w:val="1"/>
    <w:semiHidden/>
    <w:unhideWhenUsed/>
  </w:style>
  <w:style w:type="table" w:styleId="Normal Table" w:default="1">
    <w:name w:val="Normal Table"/>
    <w:uiPriority w:val="99"/>
    <w:semiHidden/>
    <w:unhideWhenUsed/>
    <w:tblPr>
      <w:tblInd w:w="0" w:type="dxa"/>
      <w:tblCellMar>
        <w:top w:w="57" w:type="dxa"/>
        <w:left w:w="57" w:type="dxa"/>
        <w:bottom w:w="57" w:type="dxa"/>
        <w:right w:w="57" w:type="dxa"/>
      </w:tblCellMar>
    </w:tblPr>
  </w:style>
  <w:style w:type="numbering" w:styleId="No List" w:default="1">
    <w:name w:val="No List"/>
    <w:uiPriority w:val="99"/>
    <w:semiHidden/>
    <w:unhideWhenUsed/>
  </w:style>
  <w:style w:type="paragraph" w:styleId="abstract" w:customStyle="1">
    <w:name w:val="abstract"/>
    <w:basedOn w:val="Normal"/>
    <w:pPr>
      <w:spacing w:before="600" w:after="360" w:line="220" w:lineRule="atLeast"/>
      <w:ind w:left="567" w:right="567"/>
      <w:contextualSpacing/>
    </w:pPr>
    <w:rPr>
      <w:sz w:val="18"/>
    </w:rPr>
  </w:style>
  <w:style w:type="paragraph" w:styleId="address" w:customStyle="1">
    <w:name w:val="address"/>
    <w:basedOn w:val="Normal"/>
    <w:pPr>
      <w:spacing w:after="200" w:line="220" w:lineRule="atLeast"/>
      <w:ind w:firstLine="0"/>
      <w:contextualSpacing/>
      <w:jc w:val="center"/>
    </w:pPr>
    <w:rPr>
      <w:sz w:val="18"/>
    </w:rPr>
  </w:style>
  <w:style w:type="numbering" w:styleId="arabnumitem" w:customStyle="1">
    <w:name w:val="arabnumitem"/>
    <w:basedOn w:val="No List"/>
    <w:pPr>
      <w:numPr>
        <w:numId w:val="5"/>
      </w:numPr>
    </w:pPr>
  </w:style>
  <w:style w:type="paragraph" w:styleId="author" w:customStyle="1">
    <w:name w:val="author"/>
    <w:basedOn w:val="Normal"/>
    <w:next w:val="address"/>
    <w:pPr>
      <w:spacing w:after="200" w:line="220" w:lineRule="atLeast"/>
      <w:ind w:firstLine="0"/>
      <w:jc w:val="center"/>
    </w:pPr>
  </w:style>
  <w:style w:type="paragraph" w:styleId="bulletitem" w:customStyle="1">
    <w:name w:val="bulletitem"/>
    <w:basedOn w:val="Normal"/>
    <w:pPr>
      <w:numPr>
        <w:numId w:val="2"/>
      </w:numPr>
      <w:spacing w:before="160" w:after="160"/>
      <w:contextualSpacing/>
    </w:pPr>
  </w:style>
  <w:style w:type="paragraph" w:styleId="dashitem" w:customStyle="1">
    <w:name w:val="dashitem"/>
    <w:basedOn w:val="Normal"/>
    <w:pPr>
      <w:numPr>
        <w:numId w:val="4"/>
      </w:numPr>
      <w:spacing w:before="160" w:after="160"/>
      <w:contextualSpacing/>
    </w:pPr>
  </w:style>
  <w:style w:type="character" w:styleId="e-mail" w:customStyle="1">
    <w:name w:val="e-mail"/>
    <w:basedOn w:val="Default Paragraph Font"/>
    <w:rPr>
      <w:rFonts w:ascii="Courier" w:hAnsi="Courier"/>
      <w:noProof/>
    </w:rPr>
  </w:style>
  <w:style w:type="paragraph" w:styleId="equation" w:customStyle="1">
    <w:name w:val="equation"/>
    <w:basedOn w:val="Normal"/>
    <w:next w:val="Normal"/>
    <w:pPr>
      <w:tabs>
        <w:tab w:val="center" w:pos="3289"/>
        <w:tab w:val="right" w:pos="6917"/>
      </w:tabs>
      <w:spacing w:before="160" w:after="160"/>
      <w:ind w:firstLine="0"/>
    </w:pPr>
  </w:style>
  <w:style w:type="paragraph" w:styleId="figurecaption" w:customStyle="1">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hAnsi="Times New Roman" w:eastAsia="Times New Roman"/>
      <w:sz w:val="20"/>
      <w:szCs w:val="20"/>
    </w:rPr>
  </w:style>
  <w:style w:type="paragraph" w:styleId="heading1" w:customStyle="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 w:customStyle="1">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styleId="heading3" w:customStyle="1">
    <w:name w:val="heading3"/>
    <w:basedOn w:val="Default Paragraph Font"/>
    <w:rPr>
      <w:b/>
    </w:rPr>
  </w:style>
  <w:style w:type="paragraph" w:styleId="heading 4">
    <w:name w:val="heading 4"/>
    <w:basedOn w:val="Normal"/>
    <w:next w:val="Normal"/>
    <w:qFormat/>
    <w:pPr>
      <w:spacing w:before="240"/>
      <w:ind w:firstLine="0"/>
      <w:outlineLvl w:val="3"/>
      <w:i/>
    </w:pPr>
  </w:style>
  <w:style w:type="character" w:styleId="heading4" w:customStyle="1">
    <w:name w:val="heading4"/>
    <w:basedOn w:val="Default Paragraph Font"/>
    <w:rPr>
      <w:i/>
    </w:rPr>
  </w:style>
  <w:style w:type="numbering" w:styleId="headings" w:customStyle="1">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styleId="image" w:customStyle="1">
    <w:name w:val="image"/>
    <w:basedOn w:val="Normal"/>
    <w:next w:val="Normal"/>
    <w:pPr>
      <w:spacing w:before="240" w:after="120"/>
      <w:ind w:firstLine="0"/>
      <w:jc w:val="center"/>
    </w:pPr>
  </w:style>
  <w:style w:type="numbering" w:styleId="itemization1" w:customStyle="1">
    <w:name w:val="itemization1"/>
    <w:basedOn w:val="No List"/>
    <w:pPr>
      <w:numPr>
        <w:numId w:val="1"/>
      </w:numPr>
    </w:pPr>
  </w:style>
  <w:style w:type="numbering" w:styleId="itemization2" w:customStyle="1">
    <w:name w:val="itemization2"/>
    <w:basedOn w:val="No List"/>
    <w:pPr>
      <w:numPr>
        <w:numId w:val="3"/>
      </w:numPr>
    </w:pPr>
  </w:style>
  <w:style w:type="paragraph" w:styleId="keywords" w:customStyle="1">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styleId="numitem" w:customStyle="1">
    <w:name w:val="numitem"/>
    <w:basedOn w:val="Normal"/>
    <w:pPr>
      <w:numPr>
        <w:numId w:val="6"/>
      </w:numPr>
      <w:spacing w:before="160" w:after="160"/>
      <w:contextualSpacing/>
    </w:pPr>
  </w:style>
  <w:style w:type="paragraph" w:styleId="p1a" w:customStyle="1">
    <w:name w:val="p1a"/>
    <w:basedOn w:val="Normal"/>
    <w:next w:val="Normal"/>
    <w:pPr>
      <w:ind w:firstLine="0"/>
    </w:pPr>
  </w:style>
  <w:style w:type="paragraph" w:styleId="programcode" w:customStyle="1">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styleId="referenceitem" w:customStyle="1">
    <w:name w:val="referenceitem"/>
    <w:basedOn w:val="Normal"/>
    <w:pPr>
      <w:numPr>
        <w:numId w:val="9"/>
      </w:numPr>
      <w:spacing w:line="220" w:lineRule="atLeast"/>
    </w:pPr>
    <w:rPr>
      <w:sz w:val="18"/>
    </w:rPr>
  </w:style>
  <w:style w:type="numbering" w:styleId="referencelist" w:customStyle="1">
    <w:name w:val="referencelist"/>
    <w:basedOn w:val="No List"/>
    <w:semiHidden/>
    <w:pPr>
      <w:numPr>
        <w:numId w:val="8"/>
      </w:numPr>
    </w:pPr>
  </w:style>
  <w:style w:type="paragraph" w:styleId="runninghead-left" w:customStyle="1">
    <w:name w:val="running head - left"/>
    <w:basedOn w:val="Normal"/>
    <w:pPr>
      <w:ind w:firstLine="0"/>
      <w:jc w:val="left"/>
    </w:pPr>
    <w:rPr>
      <w:sz w:val="18"/>
      <w:szCs w:val="18"/>
    </w:rPr>
  </w:style>
  <w:style w:type="paragraph" w:styleId="runninghead-right" w:customStyle="1">
    <w:name w:val="running head - right"/>
    <w:basedOn w:val="Normal"/>
    <w:pPr>
      <w:ind w:firstLine="0"/>
      <w:jc w:val="right"/>
    </w:pPr>
    <w:rPr>
      <w:bCs/>
      <w:sz w:val="18"/>
      <w:szCs w:val="18"/>
    </w:rPr>
  </w:style>
  <w:style w:type="character" w:styleId="page number">
    <w:name w:val="page number"/>
    <w:basedOn w:val="Default Paragraph Font"/>
    <w:semiHidden/>
    <w:unhideWhenUsed/>
    <w:rPr>
      <w:sz w:val="18"/>
    </w:rPr>
  </w:style>
  <w:style w:type="paragraph" w:styleId="papertitle" w:customStyle="1">
    <w:name w:val="papertitle"/>
    <w:basedOn w:val="Normal"/>
    <w:next w:val="author"/>
    <w:pPr>
      <w:keepNext/>
      <w:keepLines/>
      <w:suppressAutoHyphens/>
      <w:spacing w:after="480" w:line="360" w:lineRule="atLeast"/>
      <w:ind w:firstLine="0"/>
      <w:jc w:val="center"/>
    </w:pPr>
    <w:rPr>
      <w:b/>
      <w:sz w:val="28"/>
    </w:rPr>
  </w:style>
  <w:style w:type="paragraph" w:styleId="papersubtitle" w:customStyle="1">
    <w:name w:val="papersubtitle"/>
    <w:basedOn w:val="papertitle"/>
    <w:next w:val="author"/>
    <w:pPr>
      <w:spacing w:before="120" w:line="280" w:lineRule="atLeast"/>
    </w:pPr>
    <w:rPr>
      <w:sz w:val="24"/>
    </w:rPr>
  </w:style>
  <w:style w:type="paragraph" w:styleId="tablecaption" w:customStyle="1">
    <w:name w:val="tablecaption"/>
    <w:basedOn w:val="Normal"/>
    <w:next w:val="Normal"/>
    <w:pPr>
      <w:keepNext/>
      <w:keepLines/>
      <w:spacing w:before="240" w:after="120" w:line="220" w:lineRule="atLeast"/>
      <w:ind w:firstLine="0"/>
      <w:jc w:val="center"/>
    </w:pPr>
    <w:rPr>
      <w:sz w:val="18"/>
    </w:rPr>
  </w:style>
  <w:style w:type="character" w:styleId="url" w:customStyle="1">
    <w:name w:val="url"/>
    <w:basedOn w:val="Default Paragraph Font"/>
    <w:rPr>
      <w:rFonts w:ascii="Courier" w:hAnsi="Courier"/>
      <w:noProof/>
    </w:rPr>
  </w:style>
  <w:style w:type="character" w:styleId="ORCID" w:customStyle="1">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styleId="ReferenceLine" w:customStyle="1">
    <w:name w:val="ReferenceLine"/>
    <w:basedOn w:val="p1a"/>
    <w:semiHidden/>
    <w:unhideWhenUsed/>
    <w:pPr>
      <w:spacing w:line="200" w:lineRule="exact"/>
    </w:pPr>
    <w:rPr>
      <w:sz w:val="16"/>
    </w:rPr>
  </w:style>
</w:styles>
</file>

<file path=word/vbaData.xml><?xml version="1.0" encoding="utf-8"?>
<wne:vbaSuppData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docEvents>
    <wne:eventDocOpen/>
  </wne:docEvents>
  <wne:mcds>
    <wne:mcd wne:macroName="LN_DOCUMENT.SPLNPROCMACROS.CHECKENSURESTYLES" wne:name="LN_Document.SpLNProcMacros.CheckEnsureStyles" wne:bEncrypt="00" wne:cmg="56"/>
    <wne:mcd wne:macroName="LN_DOCUMENT.SPLNPROCMACROS.RESTOREPAGESETUP" wne:name="LN_Document.SpLNProcMacros.RestorePageSetup"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numbering" Target="numbering.xml" Id="rId2" /><Relationship Type="http://schemas.microsoft.com/office/2006/relationships/vbaProject" Target="vbaProject.bin"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chart" Target="charts/chart1.xml" Id="rId9" /></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Standard</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Standard</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spPr>
          <c:marker>
            <c:symbol val="none"/>
          </c:marker>
          <c:cat>
            <c:numRef>
              <c:f>Tabelle1!$A$2:$A$32</c:f>
              <c:numCache>
                <c:formatCode>Standard</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Standard</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ser>
        <c:dLbls>
          <c:showLegendKey val="0"/>
          <c:showVal val="0"/>
          <c:showCatName val="0"/>
          <c:showSerName val="0"/>
          <c:showPercent val="0"/>
          <c:showBubbleSize val="0"/>
        </c:dLbls>
        <c:marker val="1"/>
        <c:smooth val="0"/>
        <c:axId val="134235264"/>
        <c:axId val="134236800"/>
      </c:lineChart>
      <c:catAx>
        <c:axId val="134235264"/>
        <c:scaling>
          <c:orientation val="minMax"/>
        </c:scaling>
        <c:delete val="0"/>
        <c:axPos val="b"/>
        <c:numFmt formatCode="Standard" sourceLinked="1"/>
        <c:majorTickMark val="out"/>
        <c:minorTickMark val="none"/>
        <c:tickLblPos val="nextTo"/>
        <c:crossAx val="134236800"/>
        <c:crosses val="autoZero"/>
        <c:auto val="1"/>
        <c:lblAlgn val="ctr"/>
        <c:lblOffset val="100"/>
        <c:tickLblSkip val="5"/>
        <c:noMultiLvlLbl val="0"/>
      </c:catAx>
      <c:valAx>
        <c:axId val="134236800"/>
        <c:scaling>
          <c:orientation val="minMax"/>
        </c:scaling>
        <c:delete val="0"/>
        <c:axPos val="l"/>
        <c:majorGridlines>
          <c:spPr>
            <a:ln>
              <a:noFill/>
            </a:ln>
          </c:spPr>
        </c:majorGridlines>
        <c:numFmt formatCode="Standard" sourceLinked="1"/>
        <c:majorTickMark val="out"/>
        <c:minorTickMark val="none"/>
        <c:tickLblPos val="nextTo"/>
        <c:crossAx val="1342352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&#65279;<?xml version="1.0" encoding="UTF-8"?>
<Relationships xmlns="http://schemas.openxmlformats.org/package/2006/relationships">
  <Relationship Type="http://schemas.openxmlformats.org/officeDocument/2006/relationships/image" Target="images/removespace.ICO" Id="removespace"/>
  <Relationship Type="http://schemas.openxmlformats.org/officeDocument/2006/relationships/image" Target="images/normal32.ICO" Id="normal"/>
  <Relationship Type="http://schemas.openxmlformats.org/officeDocument/2006/relationships/image" Target="images/ORCID.ICO" Id="ORCID"/>
  <Relationship Type="http://schemas.openxmlformats.org/officeDocument/2006/relationships/image" Target="images/papertitle.ICO" Id="papertitle"/>
  <Relationship Type="http://schemas.openxmlformats.org/officeDocument/2006/relationships/image" Target="images/addspace.ICO" Id="addspace"/>
  <Relationship Type="http://schemas.openxmlformats.org/officeDocument/2006/relationships/image" Target="images/arrowleft.ICO" Id="arrowleft"/>
  <Relationship Type="http://schemas.openxmlformats.org/officeDocument/2006/relationships/image" Target="images/bulletitem.ICO" Id="bulletitem"/>
  <Relationship Type="http://schemas.openxmlformats.org/officeDocument/2006/relationships/image" Target="images/togglenumbering.ICO" Id="togglenumbering"/>
  <Relationship Type="http://schemas.openxmlformats.org/officeDocument/2006/relationships/image" Target="images/eqnumber.ICO" Id="eqnumber"/>
  <Relationship Type="http://schemas.openxmlformats.org/officeDocument/2006/relationships/image" Target="images/normalspace.ICO" Id="normalspace"/>
  <Relationship Type="http://schemas.openxmlformats.org/officeDocument/2006/relationships/image" Target="images/abstract.ICO" Id="abstract"/>
  <Relationship Type="http://schemas.openxmlformats.org/officeDocument/2006/relationships/image" Target="images/arrowright.ICO" Id="arrowright"/>
  <Relationship Type="http://schemas.openxmlformats.org/officeDocument/2006/relationships/image" Target="images/equation.ICO" Id="equation"/>
  <Relationship Type="http://schemas.openxmlformats.org/officeDocument/2006/relationships/image" Target="images/RedoStyles.ICO" Id="RedoStyles"/>
  <Relationship Type="http://schemas.openxmlformats.org/officeDocument/2006/relationships/image" Target="images/squeeze.ICO" Id="squeeze"/>
  <Relationship Type="http://schemas.openxmlformats.org/officeDocument/2006/relationships/image" Target="images/expand.ICO" Id="expand"/>
  <Relationship Type="http://schemas.openxmlformats.org/officeDocument/2006/relationships/image" Target="images/dashitem.ICO" Id="dashitem"/>
  <Relationship Type="http://schemas.openxmlformats.org/officeDocument/2006/relationships/image" Target="images/numitem.ICO" Id="numitem"/>
  <Relationship Type="http://schemas.openxmlformats.org/officeDocument/2006/relationships/image" Target="images/subtitle.ICO" Id="papersubtitle"/>
  <Relationship Type="http://schemas.openxmlformats.org/officeDocument/2006/relationships/image" Target="images/HeaderFooter.ICO" Id="HeaderFooter"/>
  <Relationship Type="http://schemas.openxmlformats.org/officeDocument/2006/relationships/image" Target="images/FigCaption16.ICO" Id="FigCaption"/>
  <Relationship Type="http://schemas.openxmlformats.org/officeDocument/2006/relationships/image" Target="images/InsertImage16.ICO" Id="InsertImage"/>
  <Relationship Type="http://schemas.openxmlformats.org/officeDocument/2006/relationships/image" Target="images/TabCaption16.ICO" Id="TabCaption"/>
</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FD33F4D0.dotm</Template>
  <TotalTime>0</TotalTime>
  <Pages>2</Pages>
  <Words>392</Words>
  <Characters>2446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Markus Richter</cp:lastModifiedBy>
  <cp:revision>3</cp:revision>
  <dcterms:created xsi:type="dcterms:W3CDTF">2017-02-26T12:30:00Z</dcterms:created>
  <dcterms:modified xsi:type="dcterms:W3CDTF">2017-02-26T12:30:00Z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1.0.102</vt:lpwstr>
  </op:property>
  <op:property fmtid="{D5CDD505-2E9C-101B-9397-08002B2CF9AE}" pid="3" name="OfficeCLI.LastModified">
    <vt:lpwstr xmlns:vt="http://schemas.openxmlformats.org/officeDocument/2006/docPropsVTypes">2026-06-10T07:21:38Z</vt:lpwstr>
  </op:property>
</op:Properties>
</file>