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Đề cương nghiên cứu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(Viết 3-5 trang)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Tên khóa luận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Bùi Sơn Thái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Mục tiêu khóa luận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Bài nghiên cứu về đề tài Ứng dụng máy học trong việc xác định lúa xạ hàng từ ảnh UAV có các mục tiêu chính: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Huấn luyện mô hình nhận dạng lúa với độ chính xác cao.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Xây dựng thuật toán xử lý hậu kỳ để hiển thị độ đồng đều của lúa.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Xây dựng ứng dụng giúp hiển thị kết quả một cách trực quan nhất.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Phương pháp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Dữ liệu: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Dữ liệu ảnh được thu thập từ máy bay không người lái (UAV). Ảnh sau khi chụp được cắt về kích thước 648x648 và loại bỏ các ảnh xấu.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Tiến hành gán nhãn polygon mẫu cho tập dữ liệu bằng phần mềm AnyLabeling và nền tảng trực tuyến Roboflow.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Phương pháp: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Phương pháp nghiên cứu là triển khai mô hình học sâu thông qua các mô hình như YOLO, Unet, Segnet…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quả dự kiến.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Kết quả dự kiến đạt được sau nghiên cứu là: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Huấn luyện ra mô hình nhận dạng lúa với độ chính xác cao.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Xây dựng ứng dụng để hiển thị độ đồng đều của lúa dựa trên mô hình đã huấn luyện ra.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Tài liệu tham khảo: Liệt kê &gt;=5 tài liệu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ỨNG DỤNG CÔNG NGHỆ UAV (DRONES) THEO DÕI SINH TRƯỞNG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VÀ DỰ BÁO NĂNG SUẤT LÚA TẠI VÙNG CANH TÁC LÚA TỈNH HẬU GIANG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Rice Seedling Detection in UAV Images Using Transfer Learning and Machine Learning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Machine Learning Approaches forRice Seedling Growth Stages Detection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Combining UAV-RGB high-throughput field phenotyping and genome-wide association study to reveal genetic variation of rice germplasms in dynamic response to drought stress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Deep Learning-Based Seedling Row Detection and Localization Using High-Resolution UAV Imagery for Rice Transplanter Operation Quality Evaluation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Link github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KẾ HOẠCH THEO TUẦN CỦA SINH VIÊN</w:t>
      </w:r>
    </w:p>
    <w:p w:rsidR="00000000" w:rsidDel="00000000" w:rsidP="00000000" w:rsidRDefault="00000000" w:rsidRPr="00000000" w14:paraId="00000020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  <w:t xml:space="preserve">Thời gian: 03/11/2025 – 19/04/2026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Semantic segmentation</w:t>
      </w:r>
    </w:p>
    <w:tbl>
      <w:tblPr>
        <w:tblStyle w:val="Table1"/>
        <w:tblW w:w="956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1913"/>
        <w:gridCol w:w="1913"/>
        <w:gridCol w:w="1913"/>
        <w:gridCol w:w="1913"/>
        <w:gridCol w:w="1913"/>
        <w:tblGridChange w:id="0">
          <w:tblGrid>
            <w:gridCol w:w="1913"/>
            <w:gridCol w:w="1913"/>
            <w:gridCol w:w="1913"/>
            <w:gridCol w:w="1913"/>
            <w:gridCol w:w="1913"/>
          </w:tblGrid>
        </w:tblGridChange>
      </w:tblGrid>
      <w:tr>
        <w:trPr>
          <w:cantSplit w:val="0"/>
          <w:trHeight w:val="852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Tuần (từ ngày đến ngày)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Công việc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Công cụ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Dự kiến kết quả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Ghi chú</w:t>
            </w:r>
          </w:p>
        </w:tc>
      </w:tr>
      <w:tr>
        <w:trPr>
          <w:cantSplit w:val="0"/>
          <w:trHeight w:val="86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Tuần 1 (03/11/2025–09/11/2025)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2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Tuần 2 (10/11/2025–16/11/2025)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Tuần 3 (17/11/2025–23/11/2025)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2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Tuần 4 (24/11/2025–30/11/2025)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Tuần 5 (01/12/2025–07/12/2025)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Tuần 6 (08/12/2025–14/12/2025)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Tuần 7 (15/12/2025–21/12/2025)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2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Tuần 8 (22/12/2025–28/12/2025)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Tuần 9 (29/12/2025–04/01/2026)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2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Tuần 10 (05/01/2026–11/01/2026)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Tuần 11 (12/01/2026–18/01/2026)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2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Tuần 12 (19/01/2026–25/01/2026)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Tuần 13 (26/01/2026–01/02/2026)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Tuần 14 (02/02/2026–08/02/2026)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Tuần 15 (09/02/2026–15/02/2026)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6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Tuần 16 (16/02/2026–22/02/2026)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Tuần 17 (23/02/2026–01/03/2026)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6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Tuần 18 (02/03/2026–08/03/2026)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Tuần 19 (09/03/2026–15/03/2026)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6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Tuần 20 (16/03/2026–22/03/2026)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Tuần 21 (23/03/2026–29/03/2026)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6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Tuần 22 (30/03/2026–05/04/2026)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Tuần 23 (06/04/2026–12/04/2026)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2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Tuần 24 (13/04/2026–15/04/2026)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1440" w:top="1440" w:left="1418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eFTKicov/LHBJA0seaJL0qaL+A==">CgMxLjA4AHIhMUNTbVdLczl1Y25kWkJ4OHZCU1I4dldpWEVtSGY2d1Iz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