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1A3A72"/>
        </w:rPr>
        <w:t>1. Quy trình xây dựng mô hình học máy</w:t>
      </w:r>
    </w:p>
    <w:p>
      <w:r>
        <w:rPr>
          <w:rFonts w:ascii="Times New Roman" w:hAnsi="Times New Roman"/>
          <w:b w:val="0"/>
          <w:i w:val="0"/>
          <w:sz w:val="25"/>
        </w:rPr>
        <w:t>Mô hình học máy của hệ thống có nhiệm vụ dự đoán giá trị cường độ tín hiệu nhận được (RSSI) trên đường truyền LoRa. Quy trình xây dựng mô hình được tổ chức thành bảy phần: thu thập dữ liệu khảo sát và xác định đặc trưng đầu vào, cách tính các đặc trưng địa hình và vật cản, phân tầng dữ liệu chống rò rỉ, kiến trúc học phần dư hai tầng, huấn luyện thuật toán Extra Trees, quy trình huấn luyện lại tự động qua hàng đợi Celery, và triển khai mô hình vào hệ thống phục vụ qua giao diện lập trình ứng dụng. Sơ đồ tổng thể được trình bày trong Hình 5.1.</w:t>
      </w:r>
    </w:p>
    <w:p>
      <w:pPr>
        <w:jc w:val="center"/>
      </w:pPr>
      <w:r>
        <w:drawing>
          <wp:inline xmlns:a="http://schemas.openxmlformats.org/drawingml/2006/main" xmlns:pic="http://schemas.openxmlformats.org/drawingml/2006/picture">
            <wp:extent cx="5580000" cy="6074560"/>
            <wp:docPr id="1" name="Picture 1"/>
            <wp:cNvGraphicFramePr>
              <a:graphicFrameLocks noChangeAspect="1"/>
            </wp:cNvGraphicFramePr>
            <a:graphic>
              <a:graphicData uri="http://schemas.openxmlformats.org/drawingml/2006/picture">
                <pic:pic>
                  <pic:nvPicPr>
                    <pic:cNvPr id="0" name="hinh_5_1.png"/>
                    <pic:cNvPicPr/>
                  </pic:nvPicPr>
                  <pic:blipFill>
                    <a:blip r:embed="rId9"/>
                    <a:stretch>
                      <a:fillRect/>
                    </a:stretch>
                  </pic:blipFill>
                  <pic:spPr>
                    <a:xfrm>
                      <a:off x="0" y="0"/>
                      <a:ext cx="5580000" cy="6074560"/>
                    </a:xfrm>
                    <a:prstGeom prst="rect"/>
                  </pic:spPr>
                </pic:pic>
              </a:graphicData>
            </a:graphic>
          </wp:inline>
        </w:drawing>
      </w:r>
    </w:p>
    <w:p>
      <w:pPr>
        <w:jc w:val="center"/>
      </w:pPr>
      <w:r>
        <w:rPr>
          <w:rFonts w:ascii="Times New Roman" w:hAnsi="Times New Roman"/>
          <w:i/>
          <w:sz w:val="23"/>
        </w:rPr>
        <w:t>Hình 5.1. Sơ đồ quy trình xây dựng mô hình học máy dự đoán RSSI LoRa</w:t>
      </w:r>
    </w:p>
    <w:p>
      <w:pPr>
        <w:pStyle w:val="Heading2"/>
      </w:pPr>
      <w:r>
        <w:rPr>
          <w:rFonts w:ascii="Times New Roman" w:hAnsi="Times New Roman"/>
          <w:color w:val="1A3A72"/>
        </w:rPr>
        <w:t>1.1. Nguồn dữ liệu và đặc trưng đầu vào</w:t>
      </w:r>
    </w:p>
    <w:p>
      <w:r>
        <w:rPr>
          <w:rFonts w:ascii="Times New Roman" w:hAnsi="Times New Roman"/>
          <w:b w:val="0"/>
          <w:i w:val="0"/>
          <w:sz w:val="25"/>
        </w:rPr>
        <w:t>Nguồn dữ liệu huấn luyện được lấy từ bảng ts.survey_training trong cơ sở dữ liệu TimescaleDB của hệ thống. Mỗi bản ghi tương ứng với một gói tin mà thiết bị LoRa gửi thành công về một gateway, kèm theo toạ độ địa lý, dấu thời gian, hệ số trải phổ và giá trị RSSI đo được. Tổng cộng có 14 017 mẫu hợp lệ được sử dụng trong lần huấn luyện gần nhất.</w:t>
      </w:r>
    </w:p>
    <w:p>
      <w:r>
        <w:rPr>
          <w:rFonts w:ascii="Times New Roman" w:hAnsi="Times New Roman"/>
          <w:b w:val="0"/>
          <w:i w:val="0"/>
          <w:sz w:val="25"/>
        </w:rPr>
        <w:t>Mô hình sử dụng 21 đặc trưng đầu vào, được chia thành ba nhóm chính: nhóm đặc trưng vị trí và truyền sóng (tần số, hệ số trải phổ, khoảng cách, góc phương vị, chênh lệch độ cao), nhóm đặc trưng địa hình tính từ bản đồ độ cao số (độ dốc, độ gồ ghề, thống kê độ cao dọc đường truyền) và nhóm đặc trưng vật cản (tỷ lệ vật cản trên elip Fresnel, khoảng cách thông thoáng nhỏ nhất và trung bình, tỷ lệ vùng dân cư). Bảng 5.1 liệt kê chi tiết các đặc trưng đầu vào.</w:t>
      </w:r>
    </w:p>
    <w:p>
      <w:pPr>
        <w:jc w:val="center"/>
      </w:pPr>
      <w:r>
        <w:rPr>
          <w:rFonts w:ascii="Times New Roman" w:hAnsi="Times New Roman"/>
          <w:b w:val="0"/>
          <w:i/>
          <w:sz w:val="23"/>
        </w:rPr>
        <w:t>Bảng 5.1. Bảng đặc trưng đầu vào của mô hình học máy</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680"/>
            <w:shd w:val="clear" w:color="auto" w:fill="1A3A72"/>
            <w:vAlign w:val="center"/>
          </w:tcPr>
          <w:p>
            <w:pPr>
              <w:jc w:val="center"/>
            </w:pPr>
            <w:r/>
            <w:r>
              <w:rPr>
                <w:rFonts w:ascii="Times New Roman" w:hAnsi="Times New Roman"/>
                <w:b/>
                <w:color w:val="FFFFFF"/>
                <w:sz w:val="23"/>
              </w:rPr>
              <w:t>STT</w:t>
            </w:r>
          </w:p>
        </w:tc>
        <w:tc>
          <w:tcPr>
            <w:tcW w:type="dxa" w:w="3118"/>
            <w:shd w:val="clear" w:color="auto" w:fill="1A3A72"/>
            <w:vAlign w:val="center"/>
          </w:tcPr>
          <w:p>
            <w:pPr>
              <w:jc w:val="center"/>
            </w:pPr>
            <w:r/>
            <w:r>
              <w:rPr>
                <w:rFonts w:ascii="Times New Roman" w:hAnsi="Times New Roman"/>
                <w:b/>
                <w:color w:val="FFFFFF"/>
                <w:sz w:val="23"/>
              </w:rPr>
              <w:t>Tên đặc trưng</w:t>
            </w:r>
          </w:p>
        </w:tc>
        <w:tc>
          <w:tcPr>
            <w:tcW w:type="dxa" w:w="1587"/>
            <w:shd w:val="clear" w:color="auto" w:fill="1A3A72"/>
            <w:vAlign w:val="center"/>
          </w:tcPr>
          <w:p>
            <w:pPr>
              <w:jc w:val="center"/>
            </w:pPr>
            <w:r/>
            <w:r>
              <w:rPr>
                <w:rFonts w:ascii="Times New Roman" w:hAnsi="Times New Roman"/>
                <w:b/>
                <w:color w:val="FFFFFF"/>
                <w:sz w:val="23"/>
              </w:rPr>
              <w:t>Đơn vị</w:t>
            </w:r>
          </w:p>
        </w:tc>
        <w:tc>
          <w:tcPr>
            <w:tcW w:type="dxa" w:w="3402"/>
            <w:shd w:val="clear" w:color="auto" w:fill="1A3A72"/>
            <w:vAlign w:val="center"/>
          </w:tcPr>
          <w:p>
            <w:pPr>
              <w:jc w:val="center"/>
            </w:pPr>
            <w:r/>
            <w:r>
              <w:rPr>
                <w:rFonts w:ascii="Times New Roman" w:hAnsi="Times New Roman"/>
                <w:b/>
                <w:color w:val="FFFFFF"/>
                <w:sz w:val="23"/>
              </w:rPr>
              <w:t>Mô tả ngắn gọn</w:t>
            </w:r>
          </w:p>
        </w:tc>
      </w:tr>
      <w:tr>
        <w:tc>
          <w:tcPr>
            <w:tcW w:type="dxa" w:w="680"/>
            <w:vAlign w:val="center"/>
          </w:tcPr>
          <w:p>
            <w:r/>
            <w:r>
              <w:rPr>
                <w:rFonts w:ascii="Times New Roman" w:hAnsi="Times New Roman"/>
                <w:sz w:val="22"/>
              </w:rPr>
              <w:t>1</w:t>
            </w:r>
          </w:p>
        </w:tc>
        <w:tc>
          <w:tcPr>
            <w:tcW w:type="dxa" w:w="3118"/>
            <w:vAlign w:val="center"/>
          </w:tcPr>
          <w:p>
            <w:r/>
            <w:r>
              <w:rPr>
                <w:rFonts w:ascii="Times New Roman" w:hAnsi="Times New Roman"/>
                <w:sz w:val="22"/>
              </w:rPr>
              <w:t>Tần số sóng mang</w:t>
            </w:r>
          </w:p>
        </w:tc>
        <w:tc>
          <w:tcPr>
            <w:tcW w:type="dxa" w:w="1587"/>
            <w:vAlign w:val="center"/>
          </w:tcPr>
          <w:p>
            <w:r/>
            <w:r>
              <w:rPr>
                <w:rFonts w:ascii="Times New Roman" w:hAnsi="Times New Roman"/>
                <w:sz w:val="22"/>
              </w:rPr>
              <w:t>Hz</w:t>
            </w:r>
          </w:p>
        </w:tc>
        <w:tc>
          <w:tcPr>
            <w:tcW w:type="dxa" w:w="3402"/>
            <w:vAlign w:val="center"/>
          </w:tcPr>
          <w:p>
            <w:r/>
            <w:r>
              <w:rPr>
                <w:rFonts w:ascii="Times New Roman" w:hAnsi="Times New Roman"/>
                <w:sz w:val="22"/>
              </w:rPr>
              <w:t>Tần số kênh truyền (~923 MHz cho AS923-2)</w:t>
            </w:r>
          </w:p>
        </w:tc>
      </w:tr>
      <w:tr>
        <w:tc>
          <w:tcPr>
            <w:tcW w:type="dxa" w:w="680"/>
            <w:vAlign w:val="center"/>
          </w:tcPr>
          <w:p>
            <w:r/>
            <w:r>
              <w:rPr>
                <w:rFonts w:ascii="Times New Roman" w:hAnsi="Times New Roman"/>
                <w:sz w:val="22"/>
              </w:rPr>
              <w:t>2</w:t>
            </w:r>
          </w:p>
        </w:tc>
        <w:tc>
          <w:tcPr>
            <w:tcW w:type="dxa" w:w="3118"/>
            <w:vAlign w:val="center"/>
          </w:tcPr>
          <w:p>
            <w:r/>
            <w:r>
              <w:rPr>
                <w:rFonts w:ascii="Times New Roman" w:hAnsi="Times New Roman"/>
                <w:sz w:val="22"/>
              </w:rPr>
              <w:t>Hệ số trải phổ</w:t>
            </w:r>
          </w:p>
        </w:tc>
        <w:tc>
          <w:tcPr>
            <w:tcW w:type="dxa" w:w="1587"/>
            <w:vAlign w:val="center"/>
          </w:tcPr>
          <w:p>
            <w:r/>
            <w:r>
              <w:rPr>
                <w:rFonts w:ascii="Times New Roman" w:hAnsi="Times New Roman"/>
                <w:sz w:val="22"/>
              </w:rPr>
              <w:t>Số nguyên</w:t>
            </w:r>
          </w:p>
        </w:tc>
        <w:tc>
          <w:tcPr>
            <w:tcW w:type="dxa" w:w="3402"/>
            <w:vAlign w:val="center"/>
          </w:tcPr>
          <w:p>
            <w:r/>
            <w:r>
              <w:rPr>
                <w:rFonts w:ascii="Times New Roman" w:hAnsi="Times New Roman"/>
                <w:sz w:val="22"/>
              </w:rPr>
              <w:t>Giá trị từ 7 đến 12</w:t>
            </w:r>
          </w:p>
        </w:tc>
      </w:tr>
      <w:tr>
        <w:tc>
          <w:tcPr>
            <w:tcW w:type="dxa" w:w="680"/>
            <w:vAlign w:val="center"/>
          </w:tcPr>
          <w:p>
            <w:r/>
            <w:r>
              <w:rPr>
                <w:rFonts w:ascii="Times New Roman" w:hAnsi="Times New Roman"/>
                <w:sz w:val="22"/>
              </w:rPr>
              <w:t>3</w:t>
            </w:r>
          </w:p>
        </w:tc>
        <w:tc>
          <w:tcPr>
            <w:tcW w:type="dxa" w:w="3118"/>
            <w:vAlign w:val="center"/>
          </w:tcPr>
          <w:p>
            <w:r/>
            <w:r>
              <w:rPr>
                <w:rFonts w:ascii="Times New Roman" w:hAnsi="Times New Roman"/>
                <w:sz w:val="22"/>
              </w:rPr>
              <w:t>Log khoảng cách 2D</w:t>
            </w:r>
          </w:p>
        </w:tc>
        <w:tc>
          <w:tcPr>
            <w:tcW w:type="dxa" w:w="1587"/>
            <w:vAlign w:val="center"/>
          </w:tcPr>
          <w:p>
            <w:r/>
            <w:r>
              <w:rPr>
                <w:rFonts w:ascii="Times New Roman" w:hAnsi="Times New Roman"/>
                <w:sz w:val="22"/>
              </w:rPr>
              <w:t>log10(m)</w:t>
            </w:r>
          </w:p>
        </w:tc>
        <w:tc>
          <w:tcPr>
            <w:tcW w:type="dxa" w:w="3402"/>
            <w:vAlign w:val="center"/>
          </w:tcPr>
          <w:p>
            <w:r/>
            <w:r>
              <w:rPr>
                <w:rFonts w:ascii="Times New Roman" w:hAnsi="Times New Roman"/>
                <w:sz w:val="22"/>
              </w:rPr>
              <w:t>Logarit cơ số 10 của khoảng cách ngang</w:t>
            </w:r>
          </w:p>
        </w:tc>
      </w:tr>
      <w:tr>
        <w:tc>
          <w:tcPr>
            <w:tcW w:type="dxa" w:w="680"/>
            <w:vAlign w:val="center"/>
          </w:tcPr>
          <w:p>
            <w:r/>
            <w:r>
              <w:rPr>
                <w:rFonts w:ascii="Times New Roman" w:hAnsi="Times New Roman"/>
                <w:sz w:val="22"/>
              </w:rPr>
              <w:t>4</w:t>
            </w:r>
          </w:p>
        </w:tc>
        <w:tc>
          <w:tcPr>
            <w:tcW w:type="dxa" w:w="3118"/>
            <w:vAlign w:val="center"/>
          </w:tcPr>
          <w:p>
            <w:r/>
            <w:r>
              <w:rPr>
                <w:rFonts w:ascii="Times New Roman" w:hAnsi="Times New Roman"/>
                <w:sz w:val="22"/>
              </w:rPr>
              <w:t>Log khoảng cách 3D</w:t>
            </w:r>
          </w:p>
        </w:tc>
        <w:tc>
          <w:tcPr>
            <w:tcW w:type="dxa" w:w="1587"/>
            <w:vAlign w:val="center"/>
          </w:tcPr>
          <w:p>
            <w:r/>
            <w:r>
              <w:rPr>
                <w:rFonts w:ascii="Times New Roman" w:hAnsi="Times New Roman"/>
                <w:sz w:val="22"/>
              </w:rPr>
              <w:t>log10(m)</w:t>
            </w:r>
          </w:p>
        </w:tc>
        <w:tc>
          <w:tcPr>
            <w:tcW w:type="dxa" w:w="3402"/>
            <w:vAlign w:val="center"/>
          </w:tcPr>
          <w:p>
            <w:r/>
            <w:r>
              <w:rPr>
                <w:rFonts w:ascii="Times New Roman" w:hAnsi="Times New Roman"/>
                <w:sz w:val="22"/>
              </w:rPr>
              <w:t>Đã kể đến chênh lệch độ cao</w:t>
            </w:r>
          </w:p>
        </w:tc>
      </w:tr>
      <w:tr>
        <w:tc>
          <w:tcPr>
            <w:tcW w:type="dxa" w:w="680"/>
            <w:vAlign w:val="center"/>
          </w:tcPr>
          <w:p>
            <w:r/>
            <w:r>
              <w:rPr>
                <w:rFonts w:ascii="Times New Roman" w:hAnsi="Times New Roman"/>
                <w:sz w:val="22"/>
              </w:rPr>
              <w:t>5</w:t>
            </w:r>
          </w:p>
        </w:tc>
        <w:tc>
          <w:tcPr>
            <w:tcW w:type="dxa" w:w="3118"/>
            <w:vAlign w:val="center"/>
          </w:tcPr>
          <w:p>
            <w:r/>
            <w:r>
              <w:rPr>
                <w:rFonts w:ascii="Times New Roman" w:hAnsi="Times New Roman"/>
                <w:sz w:val="22"/>
              </w:rPr>
              <w:t>Chênh lệch vĩ độ</w:t>
            </w:r>
          </w:p>
        </w:tc>
        <w:tc>
          <w:tcPr>
            <w:tcW w:type="dxa" w:w="1587"/>
            <w:vAlign w:val="center"/>
          </w:tcPr>
          <w:p>
            <w:r/>
            <w:r>
              <w:rPr>
                <w:rFonts w:ascii="Times New Roman" w:hAnsi="Times New Roman"/>
                <w:sz w:val="22"/>
              </w:rPr>
              <w:t>Radian</w:t>
            </w:r>
          </w:p>
        </w:tc>
        <w:tc>
          <w:tcPr>
            <w:tcW w:type="dxa" w:w="3402"/>
            <w:vAlign w:val="center"/>
          </w:tcPr>
          <w:p>
            <w:r/>
            <w:r>
              <w:rPr>
                <w:rFonts w:ascii="Times New Roman" w:hAnsi="Times New Roman"/>
                <w:sz w:val="22"/>
              </w:rPr>
              <w:t>Toạ độ tương đối thiết bị – gateway</w:t>
            </w:r>
          </w:p>
        </w:tc>
      </w:tr>
      <w:tr>
        <w:tc>
          <w:tcPr>
            <w:tcW w:type="dxa" w:w="680"/>
            <w:vAlign w:val="center"/>
          </w:tcPr>
          <w:p>
            <w:r/>
            <w:r>
              <w:rPr>
                <w:rFonts w:ascii="Times New Roman" w:hAnsi="Times New Roman"/>
                <w:sz w:val="22"/>
              </w:rPr>
              <w:t>6</w:t>
            </w:r>
          </w:p>
        </w:tc>
        <w:tc>
          <w:tcPr>
            <w:tcW w:type="dxa" w:w="3118"/>
            <w:vAlign w:val="center"/>
          </w:tcPr>
          <w:p>
            <w:r/>
            <w:r>
              <w:rPr>
                <w:rFonts w:ascii="Times New Roman" w:hAnsi="Times New Roman"/>
                <w:sz w:val="22"/>
              </w:rPr>
              <w:t>Chênh lệch kinh độ</w:t>
            </w:r>
          </w:p>
        </w:tc>
        <w:tc>
          <w:tcPr>
            <w:tcW w:type="dxa" w:w="1587"/>
            <w:vAlign w:val="center"/>
          </w:tcPr>
          <w:p>
            <w:r/>
            <w:r>
              <w:rPr>
                <w:rFonts w:ascii="Times New Roman" w:hAnsi="Times New Roman"/>
                <w:sz w:val="22"/>
              </w:rPr>
              <w:t>Radian</w:t>
            </w:r>
          </w:p>
        </w:tc>
        <w:tc>
          <w:tcPr>
            <w:tcW w:type="dxa" w:w="3402"/>
            <w:vAlign w:val="center"/>
          </w:tcPr>
          <w:p>
            <w:r/>
            <w:r>
              <w:rPr>
                <w:rFonts w:ascii="Times New Roman" w:hAnsi="Times New Roman"/>
                <w:sz w:val="22"/>
              </w:rPr>
              <w:t>Toạ độ tương đối thiết bị – gateway</w:t>
            </w:r>
          </w:p>
        </w:tc>
      </w:tr>
      <w:tr>
        <w:tc>
          <w:tcPr>
            <w:tcW w:type="dxa" w:w="680"/>
            <w:vAlign w:val="center"/>
          </w:tcPr>
          <w:p>
            <w:r/>
            <w:r>
              <w:rPr>
                <w:rFonts w:ascii="Times New Roman" w:hAnsi="Times New Roman"/>
                <w:sz w:val="22"/>
              </w:rPr>
              <w:t>7</w:t>
            </w:r>
          </w:p>
        </w:tc>
        <w:tc>
          <w:tcPr>
            <w:tcW w:type="dxa" w:w="3118"/>
            <w:vAlign w:val="center"/>
          </w:tcPr>
          <w:p>
            <w:r/>
            <w:r>
              <w:rPr>
                <w:rFonts w:ascii="Times New Roman" w:hAnsi="Times New Roman"/>
                <w:sz w:val="22"/>
              </w:rPr>
              <w:t>Góc phương vị</w:t>
            </w:r>
          </w:p>
        </w:tc>
        <w:tc>
          <w:tcPr>
            <w:tcW w:type="dxa" w:w="1587"/>
            <w:vAlign w:val="center"/>
          </w:tcPr>
          <w:p>
            <w:r/>
            <w:r>
              <w:rPr>
                <w:rFonts w:ascii="Times New Roman" w:hAnsi="Times New Roman"/>
                <w:sz w:val="22"/>
              </w:rPr>
              <w:t>Radian</w:t>
            </w:r>
          </w:p>
        </w:tc>
        <w:tc>
          <w:tcPr>
            <w:tcW w:type="dxa" w:w="3402"/>
            <w:vAlign w:val="center"/>
          </w:tcPr>
          <w:p>
            <w:r/>
            <w:r>
              <w:rPr>
                <w:rFonts w:ascii="Times New Roman" w:hAnsi="Times New Roman"/>
                <w:sz w:val="22"/>
              </w:rPr>
              <w:t>Hướng từ gateway đến thiết bị</w:t>
            </w:r>
          </w:p>
        </w:tc>
      </w:tr>
      <w:tr>
        <w:tc>
          <w:tcPr>
            <w:tcW w:type="dxa" w:w="680"/>
            <w:vAlign w:val="center"/>
          </w:tcPr>
          <w:p>
            <w:r/>
            <w:r>
              <w:rPr>
                <w:rFonts w:ascii="Times New Roman" w:hAnsi="Times New Roman"/>
                <w:sz w:val="22"/>
              </w:rPr>
              <w:t>8</w:t>
            </w:r>
          </w:p>
        </w:tc>
        <w:tc>
          <w:tcPr>
            <w:tcW w:type="dxa" w:w="3118"/>
            <w:vAlign w:val="center"/>
          </w:tcPr>
          <w:p>
            <w:r/>
            <w:r>
              <w:rPr>
                <w:rFonts w:ascii="Times New Roman" w:hAnsi="Times New Roman"/>
                <w:sz w:val="22"/>
              </w:rPr>
              <w:t>Độ cao gateway</w:t>
            </w:r>
          </w:p>
        </w:tc>
        <w:tc>
          <w:tcPr>
            <w:tcW w:type="dxa" w:w="1587"/>
            <w:vAlign w:val="center"/>
          </w:tcPr>
          <w:p>
            <w:r/>
            <w:r>
              <w:rPr>
                <w:rFonts w:ascii="Times New Roman" w:hAnsi="Times New Roman"/>
                <w:sz w:val="22"/>
              </w:rPr>
              <w:t>Mét</w:t>
            </w:r>
          </w:p>
        </w:tc>
        <w:tc>
          <w:tcPr>
            <w:tcW w:type="dxa" w:w="3402"/>
            <w:vAlign w:val="center"/>
          </w:tcPr>
          <w:p>
            <w:r/>
            <w:r>
              <w:rPr>
                <w:rFonts w:ascii="Times New Roman" w:hAnsi="Times New Roman"/>
                <w:sz w:val="22"/>
              </w:rPr>
              <w:t>Lấy từ bản đồ độ cao số</w:t>
            </w:r>
          </w:p>
        </w:tc>
      </w:tr>
      <w:tr>
        <w:tc>
          <w:tcPr>
            <w:tcW w:type="dxa" w:w="680"/>
            <w:vAlign w:val="center"/>
          </w:tcPr>
          <w:p>
            <w:r/>
            <w:r>
              <w:rPr>
                <w:rFonts w:ascii="Times New Roman" w:hAnsi="Times New Roman"/>
                <w:sz w:val="22"/>
              </w:rPr>
              <w:t>9</w:t>
            </w:r>
          </w:p>
        </w:tc>
        <w:tc>
          <w:tcPr>
            <w:tcW w:type="dxa" w:w="3118"/>
            <w:vAlign w:val="center"/>
          </w:tcPr>
          <w:p>
            <w:r/>
            <w:r>
              <w:rPr>
                <w:rFonts w:ascii="Times New Roman" w:hAnsi="Times New Roman"/>
                <w:sz w:val="22"/>
              </w:rPr>
              <w:t>Chênh lệch độ cao</w:t>
            </w:r>
          </w:p>
        </w:tc>
        <w:tc>
          <w:tcPr>
            <w:tcW w:type="dxa" w:w="1587"/>
            <w:vAlign w:val="center"/>
          </w:tcPr>
          <w:p>
            <w:r/>
            <w:r>
              <w:rPr>
                <w:rFonts w:ascii="Times New Roman" w:hAnsi="Times New Roman"/>
                <w:sz w:val="22"/>
              </w:rPr>
              <w:t>Mét</w:t>
            </w:r>
          </w:p>
        </w:tc>
        <w:tc>
          <w:tcPr>
            <w:tcW w:type="dxa" w:w="3402"/>
            <w:vAlign w:val="center"/>
          </w:tcPr>
          <w:p>
            <w:r/>
            <w:r>
              <w:rPr>
                <w:rFonts w:ascii="Times New Roman" w:hAnsi="Times New Roman"/>
                <w:sz w:val="22"/>
              </w:rPr>
              <w:t>Bao gồm chiều cao anten</w:t>
            </w:r>
          </w:p>
        </w:tc>
      </w:tr>
      <w:tr>
        <w:tc>
          <w:tcPr>
            <w:tcW w:type="dxa" w:w="680"/>
            <w:vAlign w:val="center"/>
          </w:tcPr>
          <w:p>
            <w:r/>
            <w:r>
              <w:rPr>
                <w:rFonts w:ascii="Times New Roman" w:hAnsi="Times New Roman"/>
                <w:sz w:val="22"/>
              </w:rPr>
              <w:t>10</w:t>
            </w:r>
          </w:p>
        </w:tc>
        <w:tc>
          <w:tcPr>
            <w:tcW w:type="dxa" w:w="3118"/>
            <w:vAlign w:val="center"/>
          </w:tcPr>
          <w:p>
            <w:r/>
            <w:r>
              <w:rPr>
                <w:rFonts w:ascii="Times New Roman" w:hAnsi="Times New Roman"/>
                <w:sz w:val="22"/>
              </w:rPr>
              <w:t>Góc ngẩng đường truyền</w:t>
            </w:r>
          </w:p>
        </w:tc>
        <w:tc>
          <w:tcPr>
            <w:tcW w:type="dxa" w:w="1587"/>
            <w:vAlign w:val="center"/>
          </w:tcPr>
          <w:p>
            <w:r/>
            <w:r>
              <w:rPr>
                <w:rFonts w:ascii="Times New Roman" w:hAnsi="Times New Roman"/>
                <w:sz w:val="22"/>
              </w:rPr>
              <w:t>Radian</w:t>
            </w:r>
          </w:p>
        </w:tc>
        <w:tc>
          <w:tcPr>
            <w:tcW w:type="dxa" w:w="3402"/>
            <w:vAlign w:val="center"/>
          </w:tcPr>
          <w:p>
            <w:r/>
            <w:r>
              <w:rPr>
                <w:rFonts w:ascii="Times New Roman" w:hAnsi="Times New Roman"/>
                <w:sz w:val="22"/>
              </w:rPr>
              <w:t>Góc nâng nhìn từ gateway đến thiết bị</w:t>
            </w:r>
          </w:p>
        </w:tc>
      </w:tr>
      <w:tr>
        <w:tc>
          <w:tcPr>
            <w:tcW w:type="dxa" w:w="680"/>
            <w:vAlign w:val="center"/>
          </w:tcPr>
          <w:p>
            <w:r/>
            <w:r>
              <w:rPr>
                <w:rFonts w:ascii="Times New Roman" w:hAnsi="Times New Roman"/>
                <w:sz w:val="22"/>
              </w:rPr>
              <w:t>11</w:t>
            </w:r>
          </w:p>
        </w:tc>
        <w:tc>
          <w:tcPr>
            <w:tcW w:type="dxa" w:w="3118"/>
            <w:vAlign w:val="center"/>
          </w:tcPr>
          <w:p>
            <w:r/>
            <w:r>
              <w:rPr>
                <w:rFonts w:ascii="Times New Roman" w:hAnsi="Times New Roman"/>
                <w:sz w:val="22"/>
              </w:rPr>
              <w:t>Độ dốc địa hình</w:t>
            </w:r>
          </w:p>
        </w:tc>
        <w:tc>
          <w:tcPr>
            <w:tcW w:type="dxa" w:w="1587"/>
            <w:vAlign w:val="center"/>
          </w:tcPr>
          <w:p>
            <w:r/>
            <w:r>
              <w:rPr>
                <w:rFonts w:ascii="Times New Roman" w:hAnsi="Times New Roman"/>
                <w:sz w:val="22"/>
              </w:rPr>
              <w:t>Mét</w:t>
            </w:r>
          </w:p>
        </w:tc>
        <w:tc>
          <w:tcPr>
            <w:tcW w:type="dxa" w:w="3402"/>
            <w:vAlign w:val="center"/>
          </w:tcPr>
          <w:p>
            <w:r/>
            <w:r>
              <w:rPr>
                <w:rFonts w:ascii="Times New Roman" w:hAnsi="Times New Roman"/>
                <w:sz w:val="22"/>
              </w:rPr>
              <w:t>Phương sai độ cao cục bộ</w:t>
            </w:r>
          </w:p>
        </w:tc>
      </w:tr>
      <w:tr>
        <w:tc>
          <w:tcPr>
            <w:tcW w:type="dxa" w:w="680"/>
            <w:vAlign w:val="center"/>
          </w:tcPr>
          <w:p>
            <w:r/>
            <w:r>
              <w:rPr>
                <w:rFonts w:ascii="Times New Roman" w:hAnsi="Times New Roman"/>
                <w:sz w:val="22"/>
              </w:rPr>
              <w:t>12</w:t>
            </w:r>
          </w:p>
        </w:tc>
        <w:tc>
          <w:tcPr>
            <w:tcW w:type="dxa" w:w="3118"/>
            <w:vAlign w:val="center"/>
          </w:tcPr>
          <w:p>
            <w:r/>
            <w:r>
              <w:rPr>
                <w:rFonts w:ascii="Times New Roman" w:hAnsi="Times New Roman"/>
                <w:sz w:val="22"/>
              </w:rPr>
              <w:t>Độ gồ ghề địa hình</w:t>
            </w:r>
          </w:p>
        </w:tc>
        <w:tc>
          <w:tcPr>
            <w:tcW w:type="dxa" w:w="1587"/>
            <w:vAlign w:val="center"/>
          </w:tcPr>
          <w:p>
            <w:r/>
            <w:r>
              <w:rPr>
                <w:rFonts w:ascii="Times New Roman" w:hAnsi="Times New Roman"/>
                <w:sz w:val="22"/>
              </w:rPr>
              <w:t>Mét</w:t>
            </w:r>
          </w:p>
        </w:tc>
        <w:tc>
          <w:tcPr>
            <w:tcW w:type="dxa" w:w="3402"/>
            <w:vAlign w:val="center"/>
          </w:tcPr>
          <w:p>
            <w:r/>
            <w:r>
              <w:rPr>
                <w:rFonts w:ascii="Times New Roman" w:hAnsi="Times New Roman"/>
                <w:sz w:val="22"/>
              </w:rPr>
              <w:t>Phương sai cửa sổ 5×5</w:t>
            </w:r>
          </w:p>
        </w:tc>
      </w:tr>
      <w:tr>
        <w:tc>
          <w:tcPr>
            <w:tcW w:type="dxa" w:w="680"/>
            <w:vAlign w:val="center"/>
          </w:tcPr>
          <w:p>
            <w:r/>
            <w:r>
              <w:rPr>
                <w:rFonts w:ascii="Times New Roman" w:hAnsi="Times New Roman"/>
                <w:sz w:val="22"/>
              </w:rPr>
              <w:t>13</w:t>
            </w:r>
          </w:p>
        </w:tc>
        <w:tc>
          <w:tcPr>
            <w:tcW w:type="dxa" w:w="3118"/>
            <w:vAlign w:val="center"/>
          </w:tcPr>
          <w:p>
            <w:r/>
            <w:r>
              <w:rPr>
                <w:rFonts w:ascii="Times New Roman" w:hAnsi="Times New Roman"/>
                <w:sz w:val="22"/>
              </w:rPr>
              <w:t>Trung bình độ cao đường truyền</w:t>
            </w:r>
          </w:p>
        </w:tc>
        <w:tc>
          <w:tcPr>
            <w:tcW w:type="dxa" w:w="1587"/>
            <w:vAlign w:val="center"/>
          </w:tcPr>
          <w:p>
            <w:r/>
            <w:r>
              <w:rPr>
                <w:rFonts w:ascii="Times New Roman" w:hAnsi="Times New Roman"/>
                <w:sz w:val="22"/>
              </w:rPr>
              <w:t>Mét</w:t>
            </w:r>
          </w:p>
        </w:tc>
        <w:tc>
          <w:tcPr>
            <w:tcW w:type="dxa" w:w="3402"/>
            <w:vAlign w:val="center"/>
          </w:tcPr>
          <w:p>
            <w:r/>
            <w:r>
              <w:rPr>
                <w:rFonts w:ascii="Times New Roman" w:hAnsi="Times New Roman"/>
                <w:sz w:val="22"/>
              </w:rPr>
              <w:t>Tính dọc tuyến gateway – thiết bị</w:t>
            </w:r>
          </w:p>
        </w:tc>
      </w:tr>
      <w:tr>
        <w:tc>
          <w:tcPr>
            <w:tcW w:type="dxa" w:w="680"/>
            <w:vAlign w:val="center"/>
          </w:tcPr>
          <w:p>
            <w:r/>
            <w:r>
              <w:rPr>
                <w:rFonts w:ascii="Times New Roman" w:hAnsi="Times New Roman"/>
                <w:sz w:val="22"/>
              </w:rPr>
              <w:t>14</w:t>
            </w:r>
          </w:p>
        </w:tc>
        <w:tc>
          <w:tcPr>
            <w:tcW w:type="dxa" w:w="3118"/>
            <w:vAlign w:val="center"/>
          </w:tcPr>
          <w:p>
            <w:r/>
            <w:r>
              <w:rPr>
                <w:rFonts w:ascii="Times New Roman" w:hAnsi="Times New Roman"/>
                <w:sz w:val="22"/>
              </w:rPr>
              <w:t>Phương sai độ cao đường truyền</w:t>
            </w:r>
          </w:p>
        </w:tc>
        <w:tc>
          <w:tcPr>
            <w:tcW w:type="dxa" w:w="1587"/>
            <w:vAlign w:val="center"/>
          </w:tcPr>
          <w:p>
            <w:r/>
            <w:r>
              <w:rPr>
                <w:rFonts w:ascii="Times New Roman" w:hAnsi="Times New Roman"/>
                <w:sz w:val="22"/>
              </w:rPr>
              <w:t>Mét</w:t>
            </w:r>
          </w:p>
        </w:tc>
        <w:tc>
          <w:tcPr>
            <w:tcW w:type="dxa" w:w="3402"/>
            <w:vAlign w:val="center"/>
          </w:tcPr>
          <w:p>
            <w:r/>
            <w:r>
              <w:rPr>
                <w:rFonts w:ascii="Times New Roman" w:hAnsi="Times New Roman"/>
                <w:sz w:val="22"/>
              </w:rPr>
              <w:t>Đo mức biến thiên địa hình</w:t>
            </w:r>
          </w:p>
        </w:tc>
      </w:tr>
      <w:tr>
        <w:tc>
          <w:tcPr>
            <w:tcW w:type="dxa" w:w="680"/>
            <w:vAlign w:val="center"/>
          </w:tcPr>
          <w:p>
            <w:r/>
            <w:r>
              <w:rPr>
                <w:rFonts w:ascii="Times New Roman" w:hAnsi="Times New Roman"/>
                <w:sz w:val="22"/>
              </w:rPr>
              <w:t>15</w:t>
            </w:r>
          </w:p>
        </w:tc>
        <w:tc>
          <w:tcPr>
            <w:tcW w:type="dxa" w:w="3118"/>
            <w:vAlign w:val="center"/>
          </w:tcPr>
          <w:p>
            <w:r/>
            <w:r>
              <w:rPr>
                <w:rFonts w:ascii="Times New Roman" w:hAnsi="Times New Roman"/>
                <w:sz w:val="22"/>
              </w:rPr>
              <w:t>Độ cao nhỏ nhất trên đường truyền</w:t>
            </w:r>
          </w:p>
        </w:tc>
        <w:tc>
          <w:tcPr>
            <w:tcW w:type="dxa" w:w="1587"/>
            <w:vAlign w:val="center"/>
          </w:tcPr>
          <w:p>
            <w:r/>
            <w:r>
              <w:rPr>
                <w:rFonts w:ascii="Times New Roman" w:hAnsi="Times New Roman"/>
                <w:sz w:val="22"/>
              </w:rPr>
              <w:t>Mét</w:t>
            </w:r>
          </w:p>
        </w:tc>
        <w:tc>
          <w:tcPr>
            <w:tcW w:type="dxa" w:w="3402"/>
            <w:vAlign w:val="center"/>
          </w:tcPr>
          <w:p>
            <w:r/>
            <w:r>
              <w:rPr>
                <w:rFonts w:ascii="Times New Roman" w:hAnsi="Times New Roman"/>
                <w:sz w:val="22"/>
              </w:rPr>
              <w:t>Điểm thấp nhất</w:t>
            </w:r>
          </w:p>
        </w:tc>
      </w:tr>
      <w:tr>
        <w:tc>
          <w:tcPr>
            <w:tcW w:type="dxa" w:w="680"/>
            <w:vAlign w:val="center"/>
          </w:tcPr>
          <w:p>
            <w:r/>
            <w:r>
              <w:rPr>
                <w:rFonts w:ascii="Times New Roman" w:hAnsi="Times New Roman"/>
                <w:sz w:val="22"/>
              </w:rPr>
              <w:t>16</w:t>
            </w:r>
          </w:p>
        </w:tc>
        <w:tc>
          <w:tcPr>
            <w:tcW w:type="dxa" w:w="3118"/>
            <w:vAlign w:val="center"/>
          </w:tcPr>
          <w:p>
            <w:r/>
            <w:r>
              <w:rPr>
                <w:rFonts w:ascii="Times New Roman" w:hAnsi="Times New Roman"/>
                <w:sz w:val="22"/>
              </w:rPr>
              <w:t>Độ cao lớn nhất trên đường truyền</w:t>
            </w:r>
          </w:p>
        </w:tc>
        <w:tc>
          <w:tcPr>
            <w:tcW w:type="dxa" w:w="1587"/>
            <w:vAlign w:val="center"/>
          </w:tcPr>
          <w:p>
            <w:r/>
            <w:r>
              <w:rPr>
                <w:rFonts w:ascii="Times New Roman" w:hAnsi="Times New Roman"/>
                <w:sz w:val="22"/>
              </w:rPr>
              <w:t>Mét</w:t>
            </w:r>
          </w:p>
        </w:tc>
        <w:tc>
          <w:tcPr>
            <w:tcW w:type="dxa" w:w="3402"/>
            <w:vAlign w:val="center"/>
          </w:tcPr>
          <w:p>
            <w:r/>
            <w:r>
              <w:rPr>
                <w:rFonts w:ascii="Times New Roman" w:hAnsi="Times New Roman"/>
                <w:sz w:val="22"/>
              </w:rPr>
              <w:t>Điểm cao nhất</w:t>
            </w:r>
          </w:p>
        </w:tc>
      </w:tr>
      <w:tr>
        <w:tc>
          <w:tcPr>
            <w:tcW w:type="dxa" w:w="680"/>
            <w:vAlign w:val="center"/>
          </w:tcPr>
          <w:p>
            <w:r/>
            <w:r>
              <w:rPr>
                <w:rFonts w:ascii="Times New Roman" w:hAnsi="Times New Roman"/>
                <w:sz w:val="22"/>
              </w:rPr>
              <w:t>17</w:t>
            </w:r>
          </w:p>
        </w:tc>
        <w:tc>
          <w:tcPr>
            <w:tcW w:type="dxa" w:w="3118"/>
            <w:vAlign w:val="center"/>
          </w:tcPr>
          <w:p>
            <w:r/>
            <w:r>
              <w:rPr>
                <w:rFonts w:ascii="Times New Roman" w:hAnsi="Times New Roman"/>
                <w:sz w:val="22"/>
              </w:rPr>
              <w:t>Tỷ lệ vật cản Fresnel</w:t>
            </w:r>
          </w:p>
        </w:tc>
        <w:tc>
          <w:tcPr>
            <w:tcW w:type="dxa" w:w="1587"/>
            <w:vAlign w:val="center"/>
          </w:tcPr>
          <w:p>
            <w:r/>
            <w:r>
              <w:rPr>
                <w:rFonts w:ascii="Times New Roman" w:hAnsi="Times New Roman"/>
                <w:sz w:val="22"/>
              </w:rPr>
              <w:t>Tỷ lệ 0–1</w:t>
            </w:r>
          </w:p>
        </w:tc>
        <w:tc>
          <w:tcPr>
            <w:tcW w:type="dxa" w:w="3402"/>
            <w:vAlign w:val="center"/>
          </w:tcPr>
          <w:p>
            <w:r/>
            <w:r>
              <w:rPr>
                <w:rFonts w:ascii="Times New Roman" w:hAnsi="Times New Roman"/>
                <w:sz w:val="22"/>
              </w:rPr>
              <w:t>Số điểm bị chặn / tổng số điểm trên elip</w:t>
            </w:r>
          </w:p>
        </w:tc>
      </w:tr>
      <w:tr>
        <w:tc>
          <w:tcPr>
            <w:tcW w:type="dxa" w:w="680"/>
            <w:vAlign w:val="center"/>
          </w:tcPr>
          <w:p>
            <w:r/>
            <w:r>
              <w:rPr>
                <w:rFonts w:ascii="Times New Roman" w:hAnsi="Times New Roman"/>
                <w:sz w:val="22"/>
              </w:rPr>
              <w:t>18</w:t>
            </w:r>
          </w:p>
        </w:tc>
        <w:tc>
          <w:tcPr>
            <w:tcW w:type="dxa" w:w="3118"/>
            <w:vAlign w:val="center"/>
          </w:tcPr>
          <w:p>
            <w:r/>
            <w:r>
              <w:rPr>
                <w:rFonts w:ascii="Times New Roman" w:hAnsi="Times New Roman"/>
                <w:sz w:val="22"/>
              </w:rPr>
              <w:t>Khoảng cách thông thoáng nhỏ nhất</w:t>
            </w:r>
          </w:p>
        </w:tc>
        <w:tc>
          <w:tcPr>
            <w:tcW w:type="dxa" w:w="1587"/>
            <w:vAlign w:val="center"/>
          </w:tcPr>
          <w:p>
            <w:r/>
            <w:r>
              <w:rPr>
                <w:rFonts w:ascii="Times New Roman" w:hAnsi="Times New Roman"/>
                <w:sz w:val="22"/>
              </w:rPr>
              <w:t>Mét</w:t>
            </w:r>
          </w:p>
        </w:tc>
        <w:tc>
          <w:tcPr>
            <w:tcW w:type="dxa" w:w="3402"/>
            <w:vAlign w:val="center"/>
          </w:tcPr>
          <w:p>
            <w:r/>
            <w:r>
              <w:rPr>
                <w:rFonts w:ascii="Times New Roman" w:hAnsi="Times New Roman"/>
                <w:sz w:val="22"/>
              </w:rPr>
              <w:t>Khe Fresnel hẹp nhất</w:t>
            </w:r>
          </w:p>
        </w:tc>
      </w:tr>
      <w:tr>
        <w:tc>
          <w:tcPr>
            <w:tcW w:type="dxa" w:w="680"/>
            <w:vAlign w:val="center"/>
          </w:tcPr>
          <w:p>
            <w:r/>
            <w:r>
              <w:rPr>
                <w:rFonts w:ascii="Times New Roman" w:hAnsi="Times New Roman"/>
                <w:sz w:val="22"/>
              </w:rPr>
              <w:t>19</w:t>
            </w:r>
          </w:p>
        </w:tc>
        <w:tc>
          <w:tcPr>
            <w:tcW w:type="dxa" w:w="3118"/>
            <w:vAlign w:val="center"/>
          </w:tcPr>
          <w:p>
            <w:r/>
            <w:r>
              <w:rPr>
                <w:rFonts w:ascii="Times New Roman" w:hAnsi="Times New Roman"/>
                <w:sz w:val="22"/>
              </w:rPr>
              <w:t>Khoảng cách thông thoáng trung bình</w:t>
            </w:r>
          </w:p>
        </w:tc>
        <w:tc>
          <w:tcPr>
            <w:tcW w:type="dxa" w:w="1587"/>
            <w:vAlign w:val="center"/>
          </w:tcPr>
          <w:p>
            <w:r/>
            <w:r>
              <w:rPr>
                <w:rFonts w:ascii="Times New Roman" w:hAnsi="Times New Roman"/>
                <w:sz w:val="22"/>
              </w:rPr>
              <w:t>Mét</w:t>
            </w:r>
          </w:p>
        </w:tc>
        <w:tc>
          <w:tcPr>
            <w:tcW w:type="dxa" w:w="3402"/>
            <w:vAlign w:val="center"/>
          </w:tcPr>
          <w:p>
            <w:r/>
            <w:r>
              <w:rPr>
                <w:rFonts w:ascii="Times New Roman" w:hAnsi="Times New Roman"/>
                <w:sz w:val="22"/>
              </w:rPr>
              <w:t>Trung bình dọc đường truyền</w:t>
            </w:r>
          </w:p>
        </w:tc>
      </w:tr>
      <w:tr>
        <w:tc>
          <w:tcPr>
            <w:tcW w:type="dxa" w:w="680"/>
            <w:vAlign w:val="center"/>
          </w:tcPr>
          <w:p>
            <w:r/>
            <w:r>
              <w:rPr>
                <w:rFonts w:ascii="Times New Roman" w:hAnsi="Times New Roman"/>
                <w:sz w:val="22"/>
              </w:rPr>
              <w:t>20</w:t>
            </w:r>
          </w:p>
        </w:tc>
        <w:tc>
          <w:tcPr>
            <w:tcW w:type="dxa" w:w="3118"/>
            <w:vAlign w:val="center"/>
          </w:tcPr>
          <w:p>
            <w:r/>
            <w:r>
              <w:rPr>
                <w:rFonts w:ascii="Times New Roman" w:hAnsi="Times New Roman"/>
                <w:sz w:val="22"/>
              </w:rPr>
              <w:t>Tỷ lệ vùng dân cư</w:t>
            </w:r>
          </w:p>
        </w:tc>
        <w:tc>
          <w:tcPr>
            <w:tcW w:type="dxa" w:w="1587"/>
            <w:vAlign w:val="center"/>
          </w:tcPr>
          <w:p>
            <w:r/>
            <w:r>
              <w:rPr>
                <w:rFonts w:ascii="Times New Roman" w:hAnsi="Times New Roman"/>
                <w:sz w:val="22"/>
              </w:rPr>
              <w:t>Tỷ lệ 0–1</w:t>
            </w:r>
          </w:p>
        </w:tc>
        <w:tc>
          <w:tcPr>
            <w:tcW w:type="dxa" w:w="3402"/>
            <w:vAlign w:val="center"/>
          </w:tcPr>
          <w:p>
            <w:r/>
            <w:r>
              <w:rPr>
                <w:rFonts w:ascii="Times New Roman" w:hAnsi="Times New Roman"/>
                <w:sz w:val="22"/>
              </w:rPr>
              <w:t>Tính từ dữ liệu sử dụng đất OpenStreetMap</w:t>
            </w:r>
          </w:p>
        </w:tc>
      </w:tr>
      <w:tr>
        <w:tc>
          <w:tcPr>
            <w:tcW w:type="dxa" w:w="680"/>
            <w:vAlign w:val="center"/>
          </w:tcPr>
          <w:p>
            <w:r/>
            <w:r>
              <w:rPr>
                <w:rFonts w:ascii="Times New Roman" w:hAnsi="Times New Roman"/>
                <w:sz w:val="22"/>
              </w:rPr>
              <w:t>21</w:t>
            </w:r>
          </w:p>
        </w:tc>
        <w:tc>
          <w:tcPr>
            <w:tcW w:type="dxa" w:w="3118"/>
            <w:vAlign w:val="center"/>
          </w:tcPr>
          <w:p>
            <w:r/>
            <w:r>
              <w:rPr>
                <w:rFonts w:ascii="Times New Roman" w:hAnsi="Times New Roman"/>
                <w:sz w:val="22"/>
              </w:rPr>
              <w:t>Mã định danh gateway</w:t>
            </w:r>
          </w:p>
        </w:tc>
        <w:tc>
          <w:tcPr>
            <w:tcW w:type="dxa" w:w="1587"/>
            <w:vAlign w:val="center"/>
          </w:tcPr>
          <w:p>
            <w:r/>
            <w:r>
              <w:rPr>
                <w:rFonts w:ascii="Times New Roman" w:hAnsi="Times New Roman"/>
                <w:sz w:val="22"/>
              </w:rPr>
              <w:t>Phân loại</w:t>
            </w:r>
          </w:p>
        </w:tc>
        <w:tc>
          <w:tcPr>
            <w:tcW w:type="dxa" w:w="3402"/>
            <w:vAlign w:val="center"/>
          </w:tcPr>
          <w:p>
            <w:r/>
            <w:r>
              <w:rPr>
                <w:rFonts w:ascii="Times New Roman" w:hAnsi="Times New Roman"/>
                <w:sz w:val="22"/>
              </w:rPr>
              <w:t>Mã hoá một-nóng (one-hot)</w:t>
            </w:r>
          </w:p>
        </w:tc>
      </w:tr>
    </w:tbl>
    <w:p>
      <w:r>
        <w:rPr>
          <w:rFonts w:ascii="Times New Roman" w:hAnsi="Times New Roman"/>
          <w:b w:val="0"/>
          <w:i w:val="0"/>
          <w:sz w:val="25"/>
        </w:rPr>
      </w:r>
    </w:p>
    <w:p>
      <w:pPr>
        <w:pStyle w:val="Heading2"/>
      </w:pPr>
      <w:r>
        <w:rPr>
          <w:rFonts w:ascii="Times New Roman" w:hAnsi="Times New Roman"/>
          <w:color w:val="1A3A72"/>
        </w:rPr>
        <w:t>1.2. Cách tính các đặc trưng địa hình và vật cản</w:t>
      </w:r>
    </w:p>
    <w:p>
      <w:r>
        <w:rPr>
          <w:rFonts w:ascii="Times New Roman" w:hAnsi="Times New Roman"/>
          <w:b w:val="0"/>
          <w:i w:val="0"/>
          <w:sz w:val="25"/>
        </w:rPr>
        <w:t>Hai nhóm đặc trưng quan trọng nhất ảnh hưởng trực tiếp đến chất lượng dự đoán là nhóm địa hình và nhóm vật cản đường truyền. Phần này mô tả cách tính từng nhóm để bảo đảm khả năng tái lập của quy trình.</w:t>
      </w:r>
    </w:p>
    <w:p>
      <w:r>
        <w:rPr>
          <w:rFonts w:ascii="Times New Roman" w:hAnsi="Times New Roman"/>
          <w:b w:val="0"/>
          <w:i w:val="0"/>
          <w:sz w:val="25"/>
        </w:rPr>
        <w:t>Đặc trưng địa hình được tính từ bản đồ độ cao số (DEM) ghép từ hai nguồn: bộ dữ liệu Copernicus DEM độ phân giải 30 mét cho địa hình và bộ dữ liệu DSM ghép từ ESA WorldCover bổ sung vùng phủ thực vật, công trình. Hai bộ dữ liệu được nạp vào bộ nhớ qua thư viện rasterio và được truy vấn bởi tiện ích crc_covlib của tổ chức tiêu chuẩn ITU-R. Đối với mỗi cặp gateway – thiết bị, hệ thống lấy mẫu một trăm điểm cách đều dọc đường thẳng nối hai điểm và tra cứu giá trị độ cao tại từng điểm. Từ chuỗi độ cao này, các giá trị thống kê được tính gồm: trung bình, phương sai, cực tiểu, cực đại; độ dốc tổng được tính bằng độ lệch chuẩn của các khoảng độ cao kế tiếp; độ gồ ghề được tính trên cửa sổ 5×5 quanh mỗi điểm.</w:t>
      </w:r>
    </w:p>
    <w:p>
      <w:r>
        <w:rPr>
          <w:rFonts w:ascii="Times New Roman" w:hAnsi="Times New Roman"/>
          <w:b w:val="0"/>
          <w:i w:val="0"/>
          <w:sz w:val="25"/>
        </w:rPr>
        <w:t>Đặc trưng vật cản Fresnel mô tả mức độ thông thoáng của vùng không gian hình elip quanh đường truyền — yếu tố quyết định trong lý thuyết sóng vô tuyến. Bán kính elip Fresnel bậc nhất tại điểm cách gateway một khoảng d₁ và cách thiết bị một khoảng d₂ được tính theo công thức:</w:t>
      </w:r>
    </w:p>
    <w:p>
      <w:pPr>
        <w:jc w:val="center"/>
      </w:pPr>
      <w:r>
        <w:rPr>
          <w:rFonts w:ascii="Times New Roman" w:hAnsi="Times New Roman"/>
          <w:b w:val="0"/>
          <w:i/>
          <w:sz w:val="25"/>
        </w:rPr>
        <w:t xml:space="preserve">    r₁ = √( λ · d₁ · d₂ / (d₁ + d₂) )</w:t>
      </w:r>
    </w:p>
    <w:p>
      <w:r>
        <w:rPr>
          <w:rFonts w:ascii="Times New Roman" w:hAnsi="Times New Roman"/>
          <w:b w:val="0"/>
          <w:i w:val="0"/>
          <w:sz w:val="25"/>
        </w:rPr>
        <w:t>trong đó λ là bước sóng (xấp xỉ 0,325 mét ở tần số 923 MHz). Tại mỗi điểm trên đường truyền, hệ thống so sánh độ cao địa hình thực tế với mức an toàn (đường thẳng giữa hai anten trừ đi sáu mươi phần trăm bán kính Fresnel). Tỷ lệ điểm bị chặn so với tổng số điểm cho ra đặc trưng tỷ lệ vật cản, các khoảng cách thông thoáng nhỏ nhất và trung bình cũng được trích từ chuỗi sai khác này.</w:t>
      </w:r>
    </w:p>
    <w:p>
      <w:r>
        <w:rPr>
          <w:rFonts w:ascii="Times New Roman" w:hAnsi="Times New Roman"/>
          <w:b w:val="0"/>
          <w:i w:val="0"/>
          <w:sz w:val="25"/>
        </w:rPr>
        <w:t>Đặc trưng tỷ lệ vùng dân cư được tính từ dữ liệu sử dụng đất OpenStreetMap đã được nướng vào tệp ảnh phân loại. Tại mỗi vị trí thiết bị, hệ thống lấy hình tròn bán kính năm mươi mét, đếm số ô vuông được phân loại là khu dân cư và chia cho tổng số ô — kết quả nằm trong khoảng từ 0 đến 1.</w:t>
      </w:r>
    </w:p>
    <w:p>
      <w:pPr>
        <w:pStyle w:val="Heading2"/>
      </w:pPr>
      <w:r>
        <w:rPr>
          <w:rFonts w:ascii="Times New Roman" w:hAnsi="Times New Roman"/>
          <w:color w:val="1A3A72"/>
        </w:rPr>
        <w:t>1.3. Phân tầng dữ liệu chống rò rỉ</w:t>
      </w:r>
    </w:p>
    <w:p>
      <w:r>
        <w:rPr>
          <w:rFonts w:ascii="Times New Roman" w:hAnsi="Times New Roman"/>
          <w:b w:val="0"/>
          <w:i w:val="0"/>
          <w:sz w:val="25"/>
        </w:rPr>
        <w:t>Một mô hình học máy chỉ có giá trị thực tế nếu chỉ tiêu đánh giá đo trên dữ liệu mà nó chưa từng nhìn thấy. Trong các phiên bản đầu của hệ thống, dữ liệu huấn luyện và dữ liệu kiểm thử có thể nằm trong cùng một khu vực địa lý và cùng một phiên đo, dẫn đến hiện tượng rò rỉ dữ liệu — mô hình ghi nhớ vị trí cụ thể thay vì học quy luật suy hao truyền sóng, làm cho RMSE báo cáo thấp hơn thực tế. Để khắc phục, hệ thống áp dụng phân tầng theo ô lưới lục giác H3.</w:t>
      </w:r>
    </w:p>
    <w:p>
      <w:r>
        <w:rPr>
          <w:rFonts w:ascii="Times New Roman" w:hAnsi="Times New Roman"/>
          <w:b w:val="0"/>
          <w:i w:val="0"/>
          <w:sz w:val="25"/>
        </w:rPr>
        <w:t>Lưới H3 là một hệ thống lưới phân cấp toàn cầu do tổ chức Uber phát triển: bề mặt Trái Đất được chia thành các ô lục giác đều nhau, mỗi ô được gán một mã định danh duy nhất. Mỗi mức phân giải H3 ứng với một kích thước ô khác nhau. Bảng 5.2 trình bày so sánh ba mức phân giải được xem xét.</w:t>
      </w:r>
    </w:p>
    <w:p>
      <w:pPr>
        <w:jc w:val="center"/>
      </w:pPr>
      <w:r>
        <w:rPr>
          <w:rFonts w:ascii="Times New Roman" w:hAnsi="Times New Roman"/>
          <w:b w:val="0"/>
          <w:i/>
          <w:sz w:val="23"/>
        </w:rPr>
        <w:t>Bảng 5.2. So sánh ba mức phân giải H3</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680"/>
            <w:shd w:val="clear" w:color="auto" w:fill="1A3A72"/>
            <w:vAlign w:val="center"/>
          </w:tcPr>
          <w:p>
            <w:pPr>
              <w:jc w:val="center"/>
            </w:pPr>
            <w:r/>
            <w:r>
              <w:rPr>
                <w:rFonts w:ascii="Times New Roman" w:hAnsi="Times New Roman"/>
                <w:b/>
                <w:color w:val="FFFFFF"/>
                <w:sz w:val="23"/>
              </w:rPr>
              <w:t>Mức</w:t>
            </w:r>
          </w:p>
        </w:tc>
        <w:tc>
          <w:tcPr>
            <w:tcW w:type="dxa" w:w="1701"/>
            <w:shd w:val="clear" w:color="auto" w:fill="1A3A72"/>
            <w:vAlign w:val="center"/>
          </w:tcPr>
          <w:p>
            <w:pPr>
              <w:jc w:val="center"/>
            </w:pPr>
            <w:r/>
            <w:r>
              <w:rPr>
                <w:rFonts w:ascii="Times New Roman" w:hAnsi="Times New Roman"/>
                <w:b/>
                <w:color w:val="FFFFFF"/>
                <w:sz w:val="23"/>
              </w:rPr>
              <w:t>Diện tích mỗi ô</w:t>
            </w:r>
          </w:p>
        </w:tc>
        <w:tc>
          <w:tcPr>
            <w:tcW w:type="dxa" w:w="2041"/>
            <w:shd w:val="clear" w:color="auto" w:fill="1A3A72"/>
            <w:vAlign w:val="center"/>
          </w:tcPr>
          <w:p>
            <w:pPr>
              <w:jc w:val="center"/>
            </w:pPr>
            <w:r/>
            <w:r>
              <w:rPr>
                <w:rFonts w:ascii="Times New Roman" w:hAnsi="Times New Roman"/>
                <w:b/>
                <w:color w:val="FFFFFF"/>
                <w:sz w:val="23"/>
              </w:rPr>
              <w:t>Quy mô tương đương</w:t>
            </w:r>
          </w:p>
        </w:tc>
        <w:tc>
          <w:tcPr>
            <w:tcW w:type="dxa" w:w="4762"/>
            <w:shd w:val="clear" w:color="auto" w:fill="1A3A72"/>
            <w:vAlign w:val="center"/>
          </w:tcPr>
          <w:p>
            <w:pPr>
              <w:jc w:val="center"/>
            </w:pPr>
            <w:r/>
            <w:r>
              <w:rPr>
                <w:rFonts w:ascii="Times New Roman" w:hAnsi="Times New Roman"/>
                <w:b/>
                <w:color w:val="FFFFFF"/>
                <w:sz w:val="23"/>
              </w:rPr>
              <w:t>Đánh giá</w:t>
            </w:r>
          </w:p>
        </w:tc>
      </w:tr>
      <w:tr>
        <w:tc>
          <w:tcPr>
            <w:tcW w:type="dxa" w:w="680"/>
            <w:vAlign w:val="center"/>
          </w:tcPr>
          <w:p>
            <w:r/>
            <w:r>
              <w:rPr>
                <w:rFonts w:ascii="Times New Roman" w:hAnsi="Times New Roman"/>
                <w:sz w:val="22"/>
              </w:rPr>
              <w:t>7</w:t>
            </w:r>
          </w:p>
        </w:tc>
        <w:tc>
          <w:tcPr>
            <w:tcW w:type="dxa" w:w="1701"/>
            <w:vAlign w:val="center"/>
          </w:tcPr>
          <w:p>
            <w:r/>
            <w:r>
              <w:rPr>
                <w:rFonts w:ascii="Times New Roman" w:hAnsi="Times New Roman"/>
                <w:sz w:val="22"/>
              </w:rPr>
              <w:t>≈ 5,16 km²</w:t>
            </w:r>
          </w:p>
        </w:tc>
        <w:tc>
          <w:tcPr>
            <w:tcW w:type="dxa" w:w="2041"/>
            <w:vAlign w:val="center"/>
          </w:tcPr>
          <w:p>
            <w:r/>
            <w:r>
              <w:rPr>
                <w:rFonts w:ascii="Times New Roman" w:hAnsi="Times New Roman"/>
                <w:sz w:val="22"/>
              </w:rPr>
              <w:t>Một quận nhỏ</w:t>
            </w:r>
          </w:p>
        </w:tc>
        <w:tc>
          <w:tcPr>
            <w:tcW w:type="dxa" w:w="4762"/>
            <w:vAlign w:val="center"/>
          </w:tcPr>
          <w:p>
            <w:r/>
            <w:r>
              <w:rPr>
                <w:rFonts w:ascii="Times New Roman" w:hAnsi="Times New Roman"/>
                <w:sz w:val="22"/>
              </w:rPr>
              <w:t>Quá thô — ô kiểm thử trùm nhiều khu khác nhau, mất chi tiết</w:t>
            </w:r>
          </w:p>
        </w:tc>
      </w:tr>
      <w:tr>
        <w:tc>
          <w:tcPr>
            <w:tcW w:type="dxa" w:w="680"/>
            <w:vAlign w:val="center"/>
          </w:tcPr>
          <w:p>
            <w:r/>
            <w:r>
              <w:rPr>
                <w:rFonts w:ascii="Times New Roman" w:hAnsi="Times New Roman"/>
                <w:sz w:val="22"/>
              </w:rPr>
              <w:t>8</w:t>
            </w:r>
          </w:p>
        </w:tc>
        <w:tc>
          <w:tcPr>
            <w:tcW w:type="dxa" w:w="1701"/>
            <w:vAlign w:val="center"/>
          </w:tcPr>
          <w:p>
            <w:r/>
            <w:r>
              <w:rPr>
                <w:rFonts w:ascii="Times New Roman" w:hAnsi="Times New Roman"/>
                <w:sz w:val="22"/>
              </w:rPr>
              <w:t>≈ 0,74 km²</w:t>
            </w:r>
          </w:p>
        </w:tc>
        <w:tc>
          <w:tcPr>
            <w:tcW w:type="dxa" w:w="2041"/>
            <w:vAlign w:val="center"/>
          </w:tcPr>
          <w:p>
            <w:r/>
            <w:r>
              <w:rPr>
                <w:rFonts w:ascii="Times New Roman" w:hAnsi="Times New Roman"/>
                <w:sz w:val="22"/>
              </w:rPr>
              <w:t>Một khu phố</w:t>
            </w:r>
          </w:p>
        </w:tc>
        <w:tc>
          <w:tcPr>
            <w:tcW w:type="dxa" w:w="4762"/>
            <w:vAlign w:val="center"/>
          </w:tcPr>
          <w:p>
            <w:r/>
            <w:r>
              <w:rPr>
                <w:rFonts w:ascii="Times New Roman" w:hAnsi="Times New Roman"/>
                <w:sz w:val="22"/>
              </w:rPr>
              <w:t>Phù hợp mật độ dữ liệu Đà Nẵng — đã chọn</w:t>
            </w:r>
          </w:p>
        </w:tc>
      </w:tr>
      <w:tr>
        <w:tc>
          <w:tcPr>
            <w:tcW w:type="dxa" w:w="680"/>
            <w:vAlign w:val="center"/>
          </w:tcPr>
          <w:p>
            <w:r/>
            <w:r>
              <w:rPr>
                <w:rFonts w:ascii="Times New Roman" w:hAnsi="Times New Roman"/>
                <w:sz w:val="22"/>
              </w:rPr>
              <w:t>9</w:t>
            </w:r>
          </w:p>
        </w:tc>
        <w:tc>
          <w:tcPr>
            <w:tcW w:type="dxa" w:w="1701"/>
            <w:vAlign w:val="center"/>
          </w:tcPr>
          <w:p>
            <w:r/>
            <w:r>
              <w:rPr>
                <w:rFonts w:ascii="Times New Roman" w:hAnsi="Times New Roman"/>
                <w:sz w:val="22"/>
              </w:rPr>
              <w:t>≈ 0,10 km²</w:t>
            </w:r>
          </w:p>
        </w:tc>
        <w:tc>
          <w:tcPr>
            <w:tcW w:type="dxa" w:w="2041"/>
            <w:vAlign w:val="center"/>
          </w:tcPr>
          <w:p>
            <w:r/>
            <w:r>
              <w:rPr>
                <w:rFonts w:ascii="Times New Roman" w:hAnsi="Times New Roman"/>
                <w:sz w:val="22"/>
              </w:rPr>
              <w:t>Một khối nhà</w:t>
            </w:r>
          </w:p>
        </w:tc>
        <w:tc>
          <w:tcPr>
            <w:tcW w:type="dxa" w:w="4762"/>
            <w:vAlign w:val="center"/>
          </w:tcPr>
          <w:p>
            <w:r/>
            <w:r>
              <w:rPr>
                <w:rFonts w:ascii="Times New Roman" w:hAnsi="Times New Roman"/>
                <w:sz w:val="22"/>
              </w:rPr>
              <w:t>Quá mịn — nhiều ô chỉ có một mẫu, không đủ phương sai</w:t>
            </w:r>
          </w:p>
        </w:tc>
      </w:tr>
    </w:tbl>
    <w:p>
      <w:r>
        <w:rPr>
          <w:rFonts w:ascii="Times New Roman" w:hAnsi="Times New Roman"/>
          <w:b w:val="0"/>
          <w:i w:val="0"/>
          <w:sz w:val="25"/>
        </w:rPr>
      </w:r>
    </w:p>
    <w:p>
      <w:r>
        <w:rPr>
          <w:rFonts w:ascii="Times New Roman" w:hAnsi="Times New Roman"/>
          <w:b w:val="0"/>
          <w:i w:val="0"/>
          <w:sz w:val="25"/>
        </w:rPr>
        <w:t>Trong mỗi ô H3, các bản ghi của cùng một thiết bị trong cùng một khung giờ được gom thành một phiên đo. Cửa sổ một giờ được chọn vì với tốc độ đi bộ trung bình năm kilômét trên giờ, người khảo sát có thể di chuyển một khoảng cách nhỏ hơn đường kính của một ô H3 mức 8 trong một giờ — bảo đảm các bản ghi cùng phiên đều nằm trong cùng một ô lưới.</w:t>
      </w:r>
    </w:p>
    <w:p>
      <w:r>
        <w:rPr>
          <w:rFonts w:ascii="Times New Roman" w:hAnsi="Times New Roman"/>
          <w:b w:val="0"/>
          <w:i w:val="0"/>
          <w:sz w:val="25"/>
        </w:rPr>
        <w:t>Quy tắc phân tầng được áp dụng như sau: các phiên mới nhất được chọn vào tập kiểm thử cho đến khi đủ định mức một nghìn năm trăm bản ghi, kế đến các phiên tiếp theo được chọn vào tập xác thực với định mức tương tự, phần còn lại thuộc tập huấn luyện. Sau bước này, hệ thống kiểm tra hai điều kiện bắt buộc bằng câu lệnh khẳng định:</w:t>
      </w:r>
    </w:p>
    <w:p>
      <w:r>
        <w:rPr>
          <w:rFonts w:ascii="Times New Roman" w:hAnsi="Times New Roman"/>
          <w:b w:val="0"/>
          <w:i/>
          <w:sz w:val="25"/>
        </w:rPr>
        <w:t xml:space="preserve">    Tập hợp ô H3 của tập huấn luyện và tập hợp ô H3 của tập kiểm thử không có phần tử chung (cell-disjoint). Tập hợp định danh phiên đo của tập huấn luyện và tập kiểm thử cũng không có phần tử chung (session-disjoint).</w:t>
      </w:r>
    </w:p>
    <w:p>
      <w:r>
        <w:rPr>
          <w:rFonts w:ascii="Times New Roman" w:hAnsi="Times New Roman"/>
          <w:b w:val="0"/>
          <w:i w:val="0"/>
          <w:sz w:val="25"/>
        </w:rPr>
        <w:t>Nếu một trong hai điều kiện không thoả, quá trình huấn luyện dừng lại và báo lỗi ngay tại bước chuẩn bị dữ liệu — bảo đảm các con số báo cáo không bị nhiễm rò rỉ. Cơ chế phân tầng được minh hoạ trong Hình 5.3.</w:t>
      </w:r>
    </w:p>
    <w:p>
      <w:pPr>
        <w:jc w:val="center"/>
      </w:pPr>
      <w:r>
        <w:drawing>
          <wp:inline xmlns:a="http://schemas.openxmlformats.org/drawingml/2006/main" xmlns:pic="http://schemas.openxmlformats.org/drawingml/2006/picture">
            <wp:extent cx="5580000" cy="3638337"/>
            <wp:docPr id="2" name="Picture 2"/>
            <wp:cNvGraphicFramePr>
              <a:graphicFrameLocks noChangeAspect="1"/>
            </wp:cNvGraphicFramePr>
            <a:graphic>
              <a:graphicData uri="http://schemas.openxmlformats.org/drawingml/2006/picture">
                <pic:pic>
                  <pic:nvPicPr>
                    <pic:cNvPr id="0" name="hinh_5_3.png"/>
                    <pic:cNvPicPr/>
                  </pic:nvPicPr>
                  <pic:blipFill>
                    <a:blip r:embed="rId10"/>
                    <a:stretch>
                      <a:fillRect/>
                    </a:stretch>
                  </pic:blipFill>
                  <pic:spPr>
                    <a:xfrm>
                      <a:off x="0" y="0"/>
                      <a:ext cx="5580000" cy="3638337"/>
                    </a:xfrm>
                    <a:prstGeom prst="rect"/>
                  </pic:spPr>
                </pic:pic>
              </a:graphicData>
            </a:graphic>
          </wp:inline>
        </w:drawing>
      </w:r>
    </w:p>
    <w:p>
      <w:pPr>
        <w:jc w:val="center"/>
      </w:pPr>
      <w:r>
        <w:rPr>
          <w:rFonts w:ascii="Times New Roman" w:hAnsi="Times New Roman"/>
          <w:i/>
          <w:sz w:val="23"/>
        </w:rPr>
        <w:t>Hình 5.3. Phân tầng ô lưới H3 cho ba tập huấn luyện, xác thực và kiểm thử</w:t>
      </w:r>
    </w:p>
    <w:p>
      <w:r>
        <w:rPr>
          <w:rFonts w:ascii="Times New Roman" w:hAnsi="Times New Roman"/>
          <w:b w:val="0"/>
          <w:i w:val="0"/>
          <w:sz w:val="25"/>
        </w:rPr>
        <w:t>Hình 5.2 trực quan hoá phân bố dữ liệu trên hai trục đặc trưng quan trọng nhất là khoảng cách và tỷ lệ vật cản, kèm theo giá trị RSSI tương ứng. Có thể thấy phần lớn dữ liệu tập trung trong khoảng 0 – 6 km và RSSI giảm rõ rệt khi khoảng cách hoặc tỷ lệ vật cản tăng.</w:t>
      </w:r>
    </w:p>
    <w:p>
      <w:pPr>
        <w:jc w:val="center"/>
      </w:pPr>
      <w:r>
        <w:drawing>
          <wp:inline xmlns:a="http://schemas.openxmlformats.org/drawingml/2006/main" xmlns:pic="http://schemas.openxmlformats.org/drawingml/2006/picture">
            <wp:extent cx="5580000" cy="3789153"/>
            <wp:docPr id="3" name="Picture 3"/>
            <wp:cNvGraphicFramePr>
              <a:graphicFrameLocks noChangeAspect="1"/>
            </wp:cNvGraphicFramePr>
            <a:graphic>
              <a:graphicData uri="http://schemas.openxmlformats.org/drawingml/2006/picture">
                <pic:pic>
                  <pic:nvPicPr>
                    <pic:cNvPr id="0" name="hinh_5_2.png"/>
                    <pic:cNvPicPr/>
                  </pic:nvPicPr>
                  <pic:blipFill>
                    <a:blip r:embed="rId11"/>
                    <a:stretch>
                      <a:fillRect/>
                    </a:stretch>
                  </pic:blipFill>
                  <pic:spPr>
                    <a:xfrm>
                      <a:off x="0" y="0"/>
                      <a:ext cx="5580000" cy="3789153"/>
                    </a:xfrm>
                    <a:prstGeom prst="rect"/>
                  </pic:spPr>
                </pic:pic>
              </a:graphicData>
            </a:graphic>
          </wp:inline>
        </w:drawing>
      </w:r>
    </w:p>
    <w:p>
      <w:pPr>
        <w:jc w:val="center"/>
      </w:pPr>
      <w:r>
        <w:rPr>
          <w:rFonts w:ascii="Times New Roman" w:hAnsi="Times New Roman"/>
          <w:i/>
          <w:sz w:val="23"/>
        </w:rPr>
        <w:t>Hình 5.2. Phân bố dữ liệu trên hai trục đặc trưng quan trọng</w:t>
      </w:r>
    </w:p>
    <w:p>
      <w:pPr>
        <w:pStyle w:val="Heading2"/>
      </w:pPr>
      <w:r>
        <w:rPr>
          <w:rFonts w:ascii="Times New Roman" w:hAnsi="Times New Roman"/>
          <w:color w:val="1A3A72"/>
        </w:rPr>
        <w:t>1.4. Kiến trúc học phần dư hai tầng</w:t>
      </w:r>
    </w:p>
    <w:p>
      <w:r>
        <w:rPr>
          <w:rFonts w:ascii="Times New Roman" w:hAnsi="Times New Roman"/>
          <w:b w:val="0"/>
          <w:i w:val="0"/>
          <w:sz w:val="25"/>
        </w:rPr>
        <w:t>Hệ thống sử dụng kiến trúc hai tầng kết hợp kiến thức vật lý truyền sóng với khả năng học từ dữ liệu thực. Tầng thứ nhất là mô hình vật lý theo khuyến nghị ITU-R P.1812 (mô hình suy hao đường truyền cho dải tần 30 MHz – 6 GHz) bổ sung thêm thành phần suy hao vật cản theo khuyến nghị ITU-R P.2108-1. Tầng này sử dụng bản đồ độ cao số làm đầu vào và cho ra giá trị RSSI cơ sở dựa hoàn toàn trên định luật vật lý.</w:t>
      </w:r>
    </w:p>
    <w:p>
      <w:r>
        <w:rPr>
          <w:rFonts w:ascii="Times New Roman" w:hAnsi="Times New Roman"/>
          <w:b w:val="0"/>
          <w:i w:val="0"/>
          <w:sz w:val="25"/>
        </w:rPr>
        <w:t>Tầng thứ hai là mô hình học máy Extra Trees. Khác với cách tiếp cận end-to-end (học máy dự đoán trực tiếp RSSI), tầng này được huấn luyện để dự đoán phần dư Δ giữa giá trị RSSI đo được trong thực tế và giá trị RSSI mà tầng thứ nhất tính ra. Giá trị RSSI cuối cùng phục vụ ứng dụng là tổng của hai tầng:</w:t>
      </w:r>
    </w:p>
    <w:p>
      <w:pPr>
        <w:jc w:val="center"/>
      </w:pPr>
      <w:r>
        <w:rPr>
          <w:rFonts w:ascii="Times New Roman" w:hAnsi="Times New Roman"/>
          <w:b/>
          <w:i/>
          <w:sz w:val="25"/>
        </w:rPr>
        <w:t xml:space="preserve">    RSSI cuối = RSSI Tầng 1 + Δ</w:t>
      </w:r>
    </w:p>
    <w:p>
      <w:r>
        <w:rPr>
          <w:rFonts w:ascii="Times New Roman" w:hAnsi="Times New Roman"/>
          <w:b w:val="0"/>
          <w:i w:val="0"/>
          <w:sz w:val="25"/>
        </w:rPr>
        <w:t>Lợi ích của kiến trúc hai tầng gồm: tận dụng được hiểu biết vật lý đã được kiểm chứng (mô hình ITU-R đã được tiêu chuẩn hoá quốc tế), giảm gánh nặng cho tầng học máy (chỉ cần học phần sai lệch nhỏ so với cơ sở vật lý chứ không phải toàn bộ quy luật suy hao), và bảo đảm dự đoán vẫn hợp lý ngay cả ở các vùng xa nguồn dữ liệu khảo sát — nơi tầng học máy có thể chưa đủ thông tin nhưng tầng vật lý vẫn hoạt động.</w:t>
      </w:r>
    </w:p>
    <w:p>
      <w:r>
        <w:rPr>
          <w:rFonts w:ascii="Times New Roman" w:hAnsi="Times New Roman"/>
          <w:b w:val="0"/>
          <w:i w:val="0"/>
          <w:sz w:val="25"/>
        </w:rPr>
        <w:t>Cơ chế dự phòng được tích hợp ở tầng thứ hai: trong trường hợp tệp mô hình joblib bị hỏng hoặc dịch vụ ml-service không sẵn sàng, hệ thống đặt Δ = 0 và trả về kết quả của tầng thứ nhất — bảo đảm hệ thống không bị gián đoạn dịch vụ trong mọi trường hợp. Sơ đồ tổng thể của kiến trúc hai tầng được trình bày trong Hình 5.5.</w:t>
      </w:r>
    </w:p>
    <w:p>
      <w:pPr>
        <w:jc w:val="center"/>
      </w:pPr>
      <w:r>
        <w:drawing>
          <wp:inline xmlns:a="http://schemas.openxmlformats.org/drawingml/2006/main" xmlns:pic="http://schemas.openxmlformats.org/drawingml/2006/picture">
            <wp:extent cx="5580000" cy="4736786"/>
            <wp:docPr id="4" name="Picture 4"/>
            <wp:cNvGraphicFramePr>
              <a:graphicFrameLocks noChangeAspect="1"/>
            </wp:cNvGraphicFramePr>
            <a:graphic>
              <a:graphicData uri="http://schemas.openxmlformats.org/drawingml/2006/picture">
                <pic:pic>
                  <pic:nvPicPr>
                    <pic:cNvPr id="0" name="hinh_5_5.png"/>
                    <pic:cNvPicPr/>
                  </pic:nvPicPr>
                  <pic:blipFill>
                    <a:blip r:embed="rId12"/>
                    <a:stretch>
                      <a:fillRect/>
                    </a:stretch>
                  </pic:blipFill>
                  <pic:spPr>
                    <a:xfrm>
                      <a:off x="0" y="0"/>
                      <a:ext cx="5580000" cy="4736786"/>
                    </a:xfrm>
                    <a:prstGeom prst="rect"/>
                  </pic:spPr>
                </pic:pic>
              </a:graphicData>
            </a:graphic>
          </wp:inline>
        </w:drawing>
      </w:r>
    </w:p>
    <w:p>
      <w:pPr>
        <w:jc w:val="center"/>
      </w:pPr>
      <w:r>
        <w:rPr>
          <w:rFonts w:ascii="Times New Roman" w:hAnsi="Times New Roman"/>
          <w:i/>
          <w:sz w:val="23"/>
        </w:rPr>
        <w:t>Hình 5.5. Kiến trúc học phần dư hai tầng — kết hợp ITU-R P.1812 và Extra Trees</w:t>
      </w:r>
    </w:p>
    <w:p>
      <w:pPr>
        <w:pStyle w:val="Heading2"/>
      </w:pPr>
      <w:r>
        <w:rPr>
          <w:rFonts w:ascii="Times New Roman" w:hAnsi="Times New Roman"/>
          <w:color w:val="1A3A72"/>
        </w:rPr>
        <w:t>1.5. Huấn luyện thuật toán Extra Trees</w:t>
      </w:r>
    </w:p>
    <w:p>
      <w:r>
        <w:rPr>
          <w:rFonts w:ascii="Times New Roman" w:hAnsi="Times New Roman"/>
          <w:b w:val="0"/>
          <w:i w:val="0"/>
          <w:sz w:val="25"/>
        </w:rPr>
        <w:t>Thuật toán Extra Trees Regressor được lựa chọn nhờ ba ưu điểm chính: tốc độ huấn luyện nhanh nhờ chia ngưỡng ngẫu nhiên, khả năng chống quá khớp tốt hơn rừng ngẫu nhiên truyền thống và không cần tinh chỉnh siêu tham số phức tạp. Cấu hình siêu tham số sử dụng trong lần huấn luyện chính được liệt kê trong Bảng 5.3.</w:t>
      </w:r>
    </w:p>
    <w:p>
      <w:pPr>
        <w:jc w:val="center"/>
      </w:pPr>
      <w:r>
        <w:rPr>
          <w:rFonts w:ascii="Times New Roman" w:hAnsi="Times New Roman"/>
          <w:b w:val="0"/>
          <w:i/>
          <w:sz w:val="23"/>
        </w:rPr>
        <w:t>Bảng 5.3. Cấu hình siêu tham số của Extra Trees</w:t>
      </w:r>
    </w:p>
    <w:tbl>
      <w:tblPr>
        <w:tblStyle w:val="TableGrid"/>
        <w:tblW w:type="auto" w:w="0"/>
        <w:jc w:val="center"/>
        <w:tblLook w:firstColumn="1" w:firstRow="1" w:lastColumn="0" w:lastRow="0" w:noHBand="0" w:noVBand="1" w:val="04A0"/>
      </w:tblPr>
      <w:tblGrid>
        <w:gridCol w:w="3230"/>
        <w:gridCol w:w="3230"/>
        <w:gridCol w:w="3230"/>
      </w:tblGrid>
      <w:tr>
        <w:tc>
          <w:tcPr>
            <w:tcW w:type="dxa" w:w="2835"/>
            <w:shd w:val="clear" w:color="auto" w:fill="1A3A72"/>
            <w:vAlign w:val="center"/>
          </w:tcPr>
          <w:p>
            <w:pPr>
              <w:jc w:val="center"/>
            </w:pPr>
            <w:r/>
            <w:r>
              <w:rPr>
                <w:rFonts w:ascii="Times New Roman" w:hAnsi="Times New Roman"/>
                <w:b/>
                <w:color w:val="FFFFFF"/>
                <w:sz w:val="23"/>
              </w:rPr>
              <w:t>Siêu tham số</w:t>
            </w:r>
          </w:p>
        </w:tc>
        <w:tc>
          <w:tcPr>
            <w:tcW w:type="dxa" w:w="1701"/>
            <w:shd w:val="clear" w:color="auto" w:fill="1A3A72"/>
            <w:vAlign w:val="center"/>
          </w:tcPr>
          <w:p>
            <w:pPr>
              <w:jc w:val="center"/>
            </w:pPr>
            <w:r/>
            <w:r>
              <w:rPr>
                <w:rFonts w:ascii="Times New Roman" w:hAnsi="Times New Roman"/>
                <w:b/>
                <w:color w:val="FFFFFF"/>
                <w:sz w:val="23"/>
              </w:rPr>
              <w:t>Giá trị</w:t>
            </w:r>
          </w:p>
        </w:tc>
        <w:tc>
          <w:tcPr>
            <w:tcW w:type="dxa" w:w="4252"/>
            <w:shd w:val="clear" w:color="auto" w:fill="1A3A72"/>
            <w:vAlign w:val="center"/>
          </w:tcPr>
          <w:p>
            <w:pPr>
              <w:jc w:val="center"/>
            </w:pPr>
            <w:r/>
            <w:r>
              <w:rPr>
                <w:rFonts w:ascii="Times New Roman" w:hAnsi="Times New Roman"/>
                <w:b/>
                <w:color w:val="FFFFFF"/>
                <w:sz w:val="23"/>
              </w:rPr>
              <w:t>Ý nghĩa</w:t>
            </w:r>
          </w:p>
        </w:tc>
      </w:tr>
      <w:tr>
        <w:tc>
          <w:tcPr>
            <w:tcW w:type="dxa" w:w="2835"/>
            <w:vAlign w:val="center"/>
          </w:tcPr>
          <w:p>
            <w:r/>
            <w:r>
              <w:rPr>
                <w:rFonts w:ascii="Times New Roman" w:hAnsi="Times New Roman"/>
                <w:sz w:val="22"/>
              </w:rPr>
              <w:t>Số cây</w:t>
            </w:r>
          </w:p>
        </w:tc>
        <w:tc>
          <w:tcPr>
            <w:tcW w:type="dxa" w:w="1701"/>
            <w:vAlign w:val="center"/>
          </w:tcPr>
          <w:p>
            <w:r/>
            <w:r>
              <w:rPr>
                <w:rFonts w:ascii="Times New Roman" w:hAnsi="Times New Roman"/>
                <w:sz w:val="22"/>
              </w:rPr>
              <w:t>1 500</w:t>
            </w:r>
          </w:p>
        </w:tc>
        <w:tc>
          <w:tcPr>
            <w:tcW w:type="dxa" w:w="4252"/>
            <w:vAlign w:val="center"/>
          </w:tcPr>
          <w:p>
            <w:r/>
            <w:r>
              <w:rPr>
                <w:rFonts w:ascii="Times New Roman" w:hAnsi="Times New Roman"/>
                <w:sz w:val="22"/>
              </w:rPr>
              <w:t>Số bộ ước lượng cơ sở</w:t>
            </w:r>
          </w:p>
        </w:tc>
      </w:tr>
      <w:tr>
        <w:tc>
          <w:tcPr>
            <w:tcW w:type="dxa" w:w="2835"/>
            <w:vAlign w:val="center"/>
          </w:tcPr>
          <w:p>
            <w:r/>
            <w:r>
              <w:rPr>
                <w:rFonts w:ascii="Times New Roman" w:hAnsi="Times New Roman"/>
                <w:sz w:val="22"/>
              </w:rPr>
              <w:t>Độ sâu tối đa</w:t>
            </w:r>
          </w:p>
        </w:tc>
        <w:tc>
          <w:tcPr>
            <w:tcW w:type="dxa" w:w="1701"/>
            <w:vAlign w:val="center"/>
          </w:tcPr>
          <w:p>
            <w:r/>
            <w:r>
              <w:rPr>
                <w:rFonts w:ascii="Times New Roman" w:hAnsi="Times New Roman"/>
                <w:sz w:val="22"/>
              </w:rPr>
              <w:t>20</w:t>
            </w:r>
          </w:p>
        </w:tc>
        <w:tc>
          <w:tcPr>
            <w:tcW w:type="dxa" w:w="4252"/>
            <w:vAlign w:val="center"/>
          </w:tcPr>
          <w:p>
            <w:r/>
            <w:r>
              <w:rPr>
                <w:rFonts w:ascii="Times New Roman" w:hAnsi="Times New Roman"/>
                <w:sz w:val="22"/>
              </w:rPr>
              <w:t>Giới hạn chiều sâu mỗi cây để chống quá khớp</w:t>
            </w:r>
          </w:p>
        </w:tc>
      </w:tr>
      <w:tr>
        <w:tc>
          <w:tcPr>
            <w:tcW w:type="dxa" w:w="2835"/>
            <w:vAlign w:val="center"/>
          </w:tcPr>
          <w:p>
            <w:r/>
            <w:r>
              <w:rPr>
                <w:rFonts w:ascii="Times New Roman" w:hAnsi="Times New Roman"/>
                <w:sz w:val="22"/>
              </w:rPr>
              <w:t>Số mẫu tối thiểu để tách nút</w:t>
            </w:r>
          </w:p>
        </w:tc>
        <w:tc>
          <w:tcPr>
            <w:tcW w:type="dxa" w:w="1701"/>
            <w:vAlign w:val="center"/>
          </w:tcPr>
          <w:p>
            <w:r/>
            <w:r>
              <w:rPr>
                <w:rFonts w:ascii="Times New Roman" w:hAnsi="Times New Roman"/>
                <w:sz w:val="22"/>
              </w:rPr>
              <w:t>5</w:t>
            </w:r>
          </w:p>
        </w:tc>
        <w:tc>
          <w:tcPr>
            <w:tcW w:type="dxa" w:w="4252"/>
            <w:vAlign w:val="center"/>
          </w:tcPr>
          <w:p>
            <w:r/>
            <w:r>
              <w:rPr>
                <w:rFonts w:ascii="Times New Roman" w:hAnsi="Times New Roman"/>
                <w:sz w:val="22"/>
              </w:rPr>
              <w:t>Ngưỡng tách nhánh</w:t>
            </w:r>
          </w:p>
        </w:tc>
      </w:tr>
      <w:tr>
        <w:tc>
          <w:tcPr>
            <w:tcW w:type="dxa" w:w="2835"/>
            <w:vAlign w:val="center"/>
          </w:tcPr>
          <w:p>
            <w:r/>
            <w:r>
              <w:rPr>
                <w:rFonts w:ascii="Times New Roman" w:hAnsi="Times New Roman"/>
                <w:sz w:val="22"/>
              </w:rPr>
              <w:t>Số mẫu tối thiểu tại nút lá</w:t>
            </w:r>
          </w:p>
        </w:tc>
        <w:tc>
          <w:tcPr>
            <w:tcW w:type="dxa" w:w="1701"/>
            <w:vAlign w:val="center"/>
          </w:tcPr>
          <w:p>
            <w:r/>
            <w:r>
              <w:rPr>
                <w:rFonts w:ascii="Times New Roman" w:hAnsi="Times New Roman"/>
                <w:sz w:val="22"/>
              </w:rPr>
              <w:t>2</w:t>
            </w:r>
          </w:p>
        </w:tc>
        <w:tc>
          <w:tcPr>
            <w:tcW w:type="dxa" w:w="4252"/>
            <w:vAlign w:val="center"/>
          </w:tcPr>
          <w:p>
            <w:r/>
            <w:r>
              <w:rPr>
                <w:rFonts w:ascii="Times New Roman" w:hAnsi="Times New Roman"/>
                <w:sz w:val="22"/>
              </w:rPr>
              <w:t>Số mẫu tối thiểu của một nút lá</w:t>
            </w:r>
          </w:p>
        </w:tc>
      </w:tr>
      <w:tr>
        <w:tc>
          <w:tcPr>
            <w:tcW w:type="dxa" w:w="2835"/>
            <w:vAlign w:val="center"/>
          </w:tcPr>
          <w:p>
            <w:r/>
            <w:r>
              <w:rPr>
                <w:rFonts w:ascii="Times New Roman" w:hAnsi="Times New Roman"/>
                <w:sz w:val="22"/>
              </w:rPr>
              <w:t>Hạt giống ngẫu nhiên</w:t>
            </w:r>
          </w:p>
        </w:tc>
        <w:tc>
          <w:tcPr>
            <w:tcW w:type="dxa" w:w="1701"/>
            <w:vAlign w:val="center"/>
          </w:tcPr>
          <w:p>
            <w:r/>
            <w:r>
              <w:rPr>
                <w:rFonts w:ascii="Times New Roman" w:hAnsi="Times New Roman"/>
                <w:sz w:val="22"/>
              </w:rPr>
              <w:t>42</w:t>
            </w:r>
          </w:p>
        </w:tc>
        <w:tc>
          <w:tcPr>
            <w:tcW w:type="dxa" w:w="4252"/>
            <w:vAlign w:val="center"/>
          </w:tcPr>
          <w:p>
            <w:r/>
            <w:r>
              <w:rPr>
                <w:rFonts w:ascii="Times New Roman" w:hAnsi="Times New Roman"/>
                <w:sz w:val="22"/>
              </w:rPr>
              <w:t>Bảo đảm khả năng tái lập</w:t>
            </w:r>
          </w:p>
        </w:tc>
      </w:tr>
      <w:tr>
        <w:tc>
          <w:tcPr>
            <w:tcW w:type="dxa" w:w="2835"/>
            <w:vAlign w:val="center"/>
          </w:tcPr>
          <w:p>
            <w:r/>
            <w:r>
              <w:rPr>
                <w:rFonts w:ascii="Times New Roman" w:hAnsi="Times New Roman"/>
                <w:sz w:val="22"/>
              </w:rPr>
              <w:t>Song song hoá</w:t>
            </w:r>
          </w:p>
        </w:tc>
        <w:tc>
          <w:tcPr>
            <w:tcW w:type="dxa" w:w="1701"/>
            <w:vAlign w:val="center"/>
          </w:tcPr>
          <w:p>
            <w:r/>
            <w:r>
              <w:rPr>
                <w:rFonts w:ascii="Times New Roman" w:hAnsi="Times New Roman"/>
                <w:sz w:val="22"/>
              </w:rPr>
              <w:t>Tất cả lõi</w:t>
            </w:r>
          </w:p>
        </w:tc>
        <w:tc>
          <w:tcPr>
            <w:tcW w:type="dxa" w:w="4252"/>
            <w:vAlign w:val="center"/>
          </w:tcPr>
          <w:p>
            <w:r/>
            <w:r>
              <w:rPr>
                <w:rFonts w:ascii="Times New Roman" w:hAnsi="Times New Roman"/>
                <w:sz w:val="22"/>
              </w:rPr>
              <w:t>Tận dụng toàn bộ CPU khi huấn luyện</w:t>
            </w:r>
          </w:p>
        </w:tc>
      </w:tr>
    </w:tbl>
    <w:p>
      <w:r>
        <w:rPr>
          <w:rFonts w:ascii="Times New Roman" w:hAnsi="Times New Roman"/>
          <w:b w:val="0"/>
          <w:i w:val="0"/>
          <w:sz w:val="25"/>
        </w:rPr>
      </w:r>
    </w:p>
    <w:p>
      <w:r>
        <w:rPr>
          <w:rFonts w:ascii="Times New Roman" w:hAnsi="Times New Roman"/>
          <w:b w:val="0"/>
          <w:i w:val="0"/>
          <w:sz w:val="25"/>
        </w:rPr>
        <w:t>Đường ống huấn luyện gồm ba bước: chuẩn hoá đặc trưng số (điền giá trị khuyết bằng trung vị rồi đưa về phân phối chuẩn), mã hoá đặc trưng phân loại (mã hoá một-nóng đối với định danh gateway) và huấn luyện Extra Trees trên ma trận đặc trưng kết hợp. Sau khi huấn luyện xong, mô hình được lưu thành tệp joblib và được sao chép nguyên tử ra vị trí dùng cho dịch vụ phục vụ.</w:t>
      </w:r>
    </w:p>
    <w:p>
      <w:pPr>
        <w:pStyle w:val="Heading2"/>
      </w:pPr>
      <w:r>
        <w:rPr>
          <w:rFonts w:ascii="Times New Roman" w:hAnsi="Times New Roman"/>
          <w:color w:val="1A3A72"/>
        </w:rPr>
        <w:t>1.6. Quy trình huấn luyện lại tự động</w:t>
      </w:r>
    </w:p>
    <w:p>
      <w:r>
        <w:rPr>
          <w:rFonts w:ascii="Times New Roman" w:hAnsi="Times New Roman"/>
          <w:b w:val="0"/>
          <w:i w:val="0"/>
          <w:sz w:val="25"/>
        </w:rPr>
        <w:t>Để duy trì chất lượng mô hình theo thời gian khi dữ liệu khảo sát mới được cộng đồng đóng góp, hệ thống cung cấp quy trình huấn luyện lại tự động được điều phối qua hàng đợi Celery. Khi quản trị viên bấm nút "Huấn luyện lại" trên giao diện điều hành, dịch vụ api-service phát một công việc vào hàng đợi và ghi sự kiện vào bảng audit.ml_retrain_jobs. Tiến trình Celery worker lấy công việc và chạy tuần tự bốn bước con như một chuỗi tiến trình con độc lập. Bảng 5.4 trình bày thời gian giới hạn cho từng bước.</w:t>
      </w:r>
    </w:p>
    <w:p>
      <w:pPr>
        <w:jc w:val="center"/>
      </w:pPr>
      <w:r>
        <w:rPr>
          <w:rFonts w:ascii="Times New Roman" w:hAnsi="Times New Roman"/>
          <w:b w:val="0"/>
          <w:i/>
          <w:sz w:val="23"/>
        </w:rPr>
        <w:t>Bảng 5.4. Bốn bước trong quy trình huấn luyện lại tự động</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154"/>
            <w:shd w:val="clear" w:color="auto" w:fill="1A3A72"/>
            <w:vAlign w:val="center"/>
          </w:tcPr>
          <w:p>
            <w:pPr>
              <w:jc w:val="center"/>
            </w:pPr>
            <w:r/>
            <w:r>
              <w:rPr>
                <w:rFonts w:ascii="Times New Roman" w:hAnsi="Times New Roman"/>
                <w:b/>
                <w:color w:val="FFFFFF"/>
                <w:sz w:val="23"/>
              </w:rPr>
              <w:t>Bước</w:t>
            </w:r>
          </w:p>
        </w:tc>
        <w:tc>
          <w:tcPr>
            <w:tcW w:type="dxa" w:w="2268"/>
            <w:shd w:val="clear" w:color="auto" w:fill="1A3A72"/>
            <w:vAlign w:val="center"/>
          </w:tcPr>
          <w:p>
            <w:pPr>
              <w:jc w:val="center"/>
            </w:pPr>
            <w:r/>
            <w:r>
              <w:rPr>
                <w:rFonts w:ascii="Times New Roman" w:hAnsi="Times New Roman"/>
                <w:b/>
                <w:color w:val="FFFFFF"/>
                <w:sz w:val="23"/>
              </w:rPr>
              <w:t>Tệp kịch bản</w:t>
            </w:r>
          </w:p>
        </w:tc>
        <w:tc>
          <w:tcPr>
            <w:tcW w:type="dxa" w:w="1417"/>
            <w:shd w:val="clear" w:color="auto" w:fill="1A3A72"/>
            <w:vAlign w:val="center"/>
          </w:tcPr>
          <w:p>
            <w:pPr>
              <w:jc w:val="center"/>
            </w:pPr>
            <w:r/>
            <w:r>
              <w:rPr>
                <w:rFonts w:ascii="Times New Roman" w:hAnsi="Times New Roman"/>
                <w:b/>
                <w:color w:val="FFFFFF"/>
                <w:sz w:val="23"/>
              </w:rPr>
              <w:t>Thời gian giới hạn</w:t>
            </w:r>
          </w:p>
        </w:tc>
        <w:tc>
          <w:tcPr>
            <w:tcW w:type="dxa" w:w="3118"/>
            <w:shd w:val="clear" w:color="auto" w:fill="1A3A72"/>
            <w:vAlign w:val="center"/>
          </w:tcPr>
          <w:p>
            <w:pPr>
              <w:jc w:val="center"/>
            </w:pPr>
            <w:r/>
            <w:r>
              <w:rPr>
                <w:rFonts w:ascii="Times New Roman" w:hAnsi="Times New Roman"/>
                <w:b/>
                <w:color w:val="FFFFFF"/>
                <w:sz w:val="23"/>
              </w:rPr>
              <w:t>Đầu ra chính</w:t>
            </w:r>
          </w:p>
        </w:tc>
      </w:tr>
      <w:tr>
        <w:tc>
          <w:tcPr>
            <w:tcW w:type="dxa" w:w="2154"/>
            <w:vAlign w:val="center"/>
          </w:tcPr>
          <w:p>
            <w:r/>
            <w:r>
              <w:rPr>
                <w:rFonts w:ascii="Times New Roman" w:hAnsi="Times New Roman"/>
                <w:sz w:val="22"/>
              </w:rPr>
              <w:t>1. Tạo CSV huấn luyện</w:t>
            </w:r>
          </w:p>
        </w:tc>
        <w:tc>
          <w:tcPr>
            <w:tcW w:type="dxa" w:w="2268"/>
            <w:vAlign w:val="center"/>
          </w:tcPr>
          <w:p>
            <w:r/>
            <w:r>
              <w:rPr>
                <w:rFonts w:ascii="Times New Roman" w:hAnsi="Times New Roman"/>
                <w:sz w:val="22"/>
              </w:rPr>
              <w:t>build_training_csv.py</w:t>
            </w:r>
          </w:p>
        </w:tc>
        <w:tc>
          <w:tcPr>
            <w:tcW w:type="dxa" w:w="1417"/>
            <w:vAlign w:val="center"/>
          </w:tcPr>
          <w:p>
            <w:r/>
            <w:r>
              <w:rPr>
                <w:rFonts w:ascii="Times New Roman" w:hAnsi="Times New Roman"/>
                <w:sz w:val="22"/>
              </w:rPr>
              <w:t>40 phút</w:t>
            </w:r>
          </w:p>
        </w:tc>
        <w:tc>
          <w:tcPr>
            <w:tcW w:type="dxa" w:w="3118"/>
            <w:vAlign w:val="center"/>
          </w:tcPr>
          <w:p>
            <w:r/>
            <w:r>
              <w:rPr>
                <w:rFonts w:ascii="Times New Roman" w:hAnsi="Times New Roman"/>
                <w:sz w:val="22"/>
              </w:rPr>
              <w:t>Tệp devices_history_full.csv kèm cột data_split</w:t>
            </w:r>
          </w:p>
        </w:tc>
      </w:tr>
      <w:tr>
        <w:tc>
          <w:tcPr>
            <w:tcW w:type="dxa" w:w="2154"/>
            <w:vAlign w:val="center"/>
          </w:tcPr>
          <w:p>
            <w:r/>
            <w:r>
              <w:rPr>
                <w:rFonts w:ascii="Times New Roman" w:hAnsi="Times New Roman"/>
                <w:sz w:val="22"/>
              </w:rPr>
              <w:t>2. Huấn luyện Extra Trees</w:t>
            </w:r>
          </w:p>
        </w:tc>
        <w:tc>
          <w:tcPr>
            <w:tcW w:type="dxa" w:w="2268"/>
            <w:vAlign w:val="center"/>
          </w:tcPr>
          <w:p>
            <w:r/>
            <w:r>
              <w:rPr>
                <w:rFonts w:ascii="Times New Roman" w:hAnsi="Times New Roman"/>
                <w:sz w:val="22"/>
              </w:rPr>
              <w:t>train_extra_trees.py</w:t>
            </w:r>
          </w:p>
        </w:tc>
        <w:tc>
          <w:tcPr>
            <w:tcW w:type="dxa" w:w="1417"/>
            <w:vAlign w:val="center"/>
          </w:tcPr>
          <w:p>
            <w:r/>
            <w:r>
              <w:rPr>
                <w:rFonts w:ascii="Times New Roman" w:hAnsi="Times New Roman"/>
                <w:sz w:val="22"/>
              </w:rPr>
              <w:t>60 phút</w:t>
            </w:r>
          </w:p>
        </w:tc>
        <w:tc>
          <w:tcPr>
            <w:tcW w:type="dxa" w:w="3118"/>
            <w:vAlign w:val="center"/>
          </w:tcPr>
          <w:p>
            <w:r/>
            <w:r>
              <w:rPr>
                <w:rFonts w:ascii="Times New Roman" w:hAnsi="Times New Roman"/>
                <w:sz w:val="22"/>
              </w:rPr>
              <w:t>Tệp mô hình joblib (đổi tên nguyên tử .new → .joblib)</w:t>
            </w:r>
          </w:p>
        </w:tc>
      </w:tr>
      <w:tr>
        <w:tc>
          <w:tcPr>
            <w:tcW w:type="dxa" w:w="2154"/>
            <w:vAlign w:val="center"/>
          </w:tcPr>
          <w:p>
            <w:r/>
            <w:r>
              <w:rPr>
                <w:rFonts w:ascii="Times New Roman" w:hAnsi="Times New Roman"/>
                <w:sz w:val="22"/>
              </w:rPr>
              <w:t>3. Đánh giá tập kiểm thử</w:t>
            </w:r>
          </w:p>
        </w:tc>
        <w:tc>
          <w:tcPr>
            <w:tcW w:type="dxa" w:w="2268"/>
            <w:vAlign w:val="center"/>
          </w:tcPr>
          <w:p>
            <w:r/>
            <w:r>
              <w:rPr>
                <w:rFonts w:ascii="Times New Roman" w:hAnsi="Times New Roman"/>
                <w:sz w:val="22"/>
              </w:rPr>
              <w:t>eval_extra_trees_holdout.py</w:t>
            </w:r>
          </w:p>
        </w:tc>
        <w:tc>
          <w:tcPr>
            <w:tcW w:type="dxa" w:w="1417"/>
            <w:vAlign w:val="center"/>
          </w:tcPr>
          <w:p>
            <w:r/>
            <w:r>
              <w:rPr>
                <w:rFonts w:ascii="Times New Roman" w:hAnsi="Times New Roman"/>
                <w:sz w:val="22"/>
              </w:rPr>
              <w:t>5 phút</w:t>
            </w:r>
          </w:p>
        </w:tc>
        <w:tc>
          <w:tcPr>
            <w:tcW w:type="dxa" w:w="3118"/>
            <w:vAlign w:val="center"/>
          </w:tcPr>
          <w:p>
            <w:r/>
            <w:r>
              <w:rPr>
                <w:rFonts w:ascii="Times New Roman" w:hAnsi="Times New Roman"/>
                <w:sz w:val="22"/>
              </w:rPr>
              <w:t>Tệp holdout_eval.json + per_distance + per_gateway</w:t>
            </w:r>
          </w:p>
        </w:tc>
      </w:tr>
      <w:tr>
        <w:tc>
          <w:tcPr>
            <w:tcW w:type="dxa" w:w="2154"/>
            <w:vAlign w:val="center"/>
          </w:tcPr>
          <w:p>
            <w:r/>
            <w:r>
              <w:rPr>
                <w:rFonts w:ascii="Times New Roman" w:hAnsi="Times New Roman"/>
                <w:sz w:val="22"/>
              </w:rPr>
              <w:t>4. Xuất báo cáo</w:t>
            </w:r>
          </w:p>
        </w:tc>
        <w:tc>
          <w:tcPr>
            <w:tcW w:type="dxa" w:w="2268"/>
            <w:vAlign w:val="center"/>
          </w:tcPr>
          <w:p>
            <w:r/>
            <w:r>
              <w:rPr>
                <w:rFonts w:ascii="Times New Roman" w:hAnsi="Times New Roman"/>
                <w:sz w:val="22"/>
              </w:rPr>
              <w:t>render_ml_report.py</w:t>
            </w:r>
          </w:p>
        </w:tc>
        <w:tc>
          <w:tcPr>
            <w:tcW w:type="dxa" w:w="1417"/>
            <w:vAlign w:val="center"/>
          </w:tcPr>
          <w:p>
            <w:r/>
            <w:r>
              <w:rPr>
                <w:rFonts w:ascii="Times New Roman" w:hAnsi="Times New Roman"/>
                <w:sz w:val="22"/>
              </w:rPr>
              <w:t>10 phút</w:t>
            </w:r>
          </w:p>
        </w:tc>
        <w:tc>
          <w:tcPr>
            <w:tcW w:type="dxa" w:w="3118"/>
            <w:vAlign w:val="center"/>
          </w:tcPr>
          <w:p>
            <w:r/>
            <w:r>
              <w:rPr>
                <w:rFonts w:ascii="Times New Roman" w:hAnsi="Times New Roman"/>
                <w:sz w:val="22"/>
              </w:rPr>
              <w:t>Tệp report.pdf kèm các biểu đồ và bảng tổng hợp</w:t>
            </w:r>
          </w:p>
        </w:tc>
      </w:tr>
    </w:tbl>
    <w:p>
      <w:r>
        <w:rPr>
          <w:rFonts w:ascii="Times New Roman" w:hAnsi="Times New Roman"/>
          <w:b w:val="0"/>
          <w:i w:val="0"/>
          <w:sz w:val="25"/>
        </w:rPr>
      </w:r>
    </w:p>
    <w:p>
      <w:r>
        <w:rPr>
          <w:rFonts w:ascii="Times New Roman" w:hAnsi="Times New Roman"/>
          <w:b w:val="0"/>
          <w:i w:val="0"/>
          <w:sz w:val="25"/>
        </w:rPr>
        <w:t>Ba điểm đáng chú ý trong cách thiết kế quy trình. Thứ nhất, sau bước thứ hai, tệp mô hình mới được ghi với phần mở rộng tạm thời .new rồi mới đổi tên thành tệp chính thức — kỹ thuật đổi tên nguyên tử của hệ điều hành bảo đảm dịch vụ phục vụ không bao giờ đọc phải tệp đang ghi dở. Thứ hai, sau khi đổi tên xong, dịch vụ ml-service được kích hoạt lại nóng (hot-reload) qua lời gọi POST /admin/reload kèm mã thông báo Bearer — bộ trọng số mới được nạp vào bộ nhớ mà không cần khởi động lại tiến trình, không gây gián đoạn dịch vụ. Thứ ba, kết quả của từng bước (số mẫu, các chỉ tiêu RMSE/MAE/R²/Bias, định danh người gọi) được ghi vào audit log để phục vụ kiểm tra về sau.</w:t>
      </w:r>
    </w:p>
    <w:p>
      <w:r>
        <w:rPr>
          <w:rFonts w:ascii="Times New Roman" w:hAnsi="Times New Roman"/>
          <w:b w:val="0"/>
          <w:i w:val="0"/>
          <w:sz w:val="25"/>
        </w:rPr>
        <w:t>Cơ chế chịu lỗi mềm được áp dụng ở bước kích hoạt lại nóng: nếu lời gọi tới ml-service thất bại, hệ thống ghi cảnh báo và để mô hình cũ tiếp tục phục vụ thay vì làm hỏng hệ thống. Quản trị viên có thể can thiệp thủ công khi cần. Sơ đồ chuỗi bốn bước được trình bày trong Hình 5.6.</w:t>
      </w:r>
    </w:p>
    <w:p>
      <w:pPr>
        <w:jc w:val="center"/>
      </w:pPr>
      <w:r>
        <w:drawing>
          <wp:inline xmlns:a="http://schemas.openxmlformats.org/drawingml/2006/main" xmlns:pic="http://schemas.openxmlformats.org/drawingml/2006/picture">
            <wp:extent cx="5580000" cy="4011122"/>
            <wp:docPr id="5" name="Picture 5"/>
            <wp:cNvGraphicFramePr>
              <a:graphicFrameLocks noChangeAspect="1"/>
            </wp:cNvGraphicFramePr>
            <a:graphic>
              <a:graphicData uri="http://schemas.openxmlformats.org/drawingml/2006/picture">
                <pic:pic>
                  <pic:nvPicPr>
                    <pic:cNvPr id="0" name="hinh_5_6.png"/>
                    <pic:cNvPicPr/>
                  </pic:nvPicPr>
                  <pic:blipFill>
                    <a:blip r:embed="rId13"/>
                    <a:stretch>
                      <a:fillRect/>
                    </a:stretch>
                  </pic:blipFill>
                  <pic:spPr>
                    <a:xfrm>
                      <a:off x="0" y="0"/>
                      <a:ext cx="5580000" cy="4011122"/>
                    </a:xfrm>
                    <a:prstGeom prst="rect"/>
                  </pic:spPr>
                </pic:pic>
              </a:graphicData>
            </a:graphic>
          </wp:inline>
        </w:drawing>
      </w:r>
    </w:p>
    <w:p>
      <w:pPr>
        <w:jc w:val="center"/>
      </w:pPr>
      <w:r>
        <w:rPr>
          <w:rFonts w:ascii="Times New Roman" w:hAnsi="Times New Roman"/>
          <w:i/>
          <w:sz w:val="23"/>
        </w:rPr>
        <w:t>Hình 5.6. Sơ đồ chuỗi bốn bước huấn luyện lại tự động qua Celery</w:t>
      </w:r>
    </w:p>
    <w:p>
      <w:pPr>
        <w:pStyle w:val="Heading2"/>
      </w:pPr>
      <w:r>
        <w:rPr>
          <w:rFonts w:ascii="Times New Roman" w:hAnsi="Times New Roman"/>
          <w:color w:val="1A3A72"/>
        </w:rPr>
        <w:t>1.7. Triển khai và phục vụ dự đoán</w:t>
      </w:r>
    </w:p>
    <w:p>
      <w:r>
        <w:rPr>
          <w:rFonts w:ascii="Times New Roman" w:hAnsi="Times New Roman"/>
          <w:b w:val="0"/>
          <w:i w:val="0"/>
          <w:sz w:val="25"/>
        </w:rPr>
        <w:t>Mô hình đã huấn luyện được triển khai trong dịch vụ ml-service (FastAPI). Khi có yêu cầu dự đoán, dịch vụ ml-service trích đặc trưng đầu vào từ toạ độ và cấu hình thiết bị, gọi mô hình Extra Trees để dự đoán phần dư so với mô hình vật lý ITU-R P.1812 (Tầng 1) và trả về phần dư đó cho dịch vụ api-service tổng hợp. Sau mỗi lần huấn luyện lại, dịch vụ ml-service được kích hoạt lại nóng (hot-reload) bằng lời gọi điểm cuối /admin/reload — tệp joblib mới được nạp lại trong bộ nhớ mà không cần khởi động lại dịch vụ. Bảng 5.4 mô tả các trường đầu ra của một lần gọi dự đoán.</w:t>
      </w:r>
    </w:p>
    <w:p>
      <w:pPr>
        <w:jc w:val="center"/>
      </w:pPr>
      <w:r>
        <w:rPr>
          <w:rFonts w:ascii="Times New Roman" w:hAnsi="Times New Roman"/>
          <w:b w:val="0"/>
          <w:i/>
          <w:sz w:val="23"/>
        </w:rPr>
        <w:t>Bảng 5.5. Bảng đầu ra của một lần dự đoán</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680"/>
            <w:shd w:val="clear" w:color="auto" w:fill="1A3A72"/>
            <w:vAlign w:val="center"/>
          </w:tcPr>
          <w:p>
            <w:pPr>
              <w:jc w:val="center"/>
            </w:pPr>
            <w:r/>
            <w:r>
              <w:rPr>
                <w:rFonts w:ascii="Times New Roman" w:hAnsi="Times New Roman"/>
                <w:b/>
                <w:color w:val="FFFFFF"/>
                <w:sz w:val="23"/>
              </w:rPr>
              <w:t>STT</w:t>
            </w:r>
          </w:p>
        </w:tc>
        <w:tc>
          <w:tcPr>
            <w:tcW w:type="dxa" w:w="2551"/>
            <w:shd w:val="clear" w:color="auto" w:fill="1A3A72"/>
            <w:vAlign w:val="center"/>
          </w:tcPr>
          <w:p>
            <w:pPr>
              <w:jc w:val="center"/>
            </w:pPr>
            <w:r/>
            <w:r>
              <w:rPr>
                <w:rFonts w:ascii="Times New Roman" w:hAnsi="Times New Roman"/>
                <w:b/>
                <w:color w:val="FFFFFF"/>
                <w:sz w:val="23"/>
              </w:rPr>
              <w:t>Trường đầu ra</w:t>
            </w:r>
          </w:p>
        </w:tc>
        <w:tc>
          <w:tcPr>
            <w:tcW w:type="dxa" w:w="1587"/>
            <w:shd w:val="clear" w:color="auto" w:fill="1A3A72"/>
            <w:vAlign w:val="center"/>
          </w:tcPr>
          <w:p>
            <w:pPr>
              <w:jc w:val="center"/>
            </w:pPr>
            <w:r/>
            <w:r>
              <w:rPr>
                <w:rFonts w:ascii="Times New Roman" w:hAnsi="Times New Roman"/>
                <w:b/>
                <w:color w:val="FFFFFF"/>
                <w:sz w:val="23"/>
              </w:rPr>
              <w:t>Đơn vị</w:t>
            </w:r>
          </w:p>
        </w:tc>
        <w:tc>
          <w:tcPr>
            <w:tcW w:type="dxa" w:w="3969"/>
            <w:shd w:val="clear" w:color="auto" w:fill="1A3A72"/>
            <w:vAlign w:val="center"/>
          </w:tcPr>
          <w:p>
            <w:pPr>
              <w:jc w:val="center"/>
            </w:pPr>
            <w:r/>
            <w:r>
              <w:rPr>
                <w:rFonts w:ascii="Times New Roman" w:hAnsi="Times New Roman"/>
                <w:b/>
                <w:color w:val="FFFFFF"/>
                <w:sz w:val="23"/>
              </w:rPr>
              <w:t>Mô tả ngắn gọn</w:t>
            </w:r>
          </w:p>
        </w:tc>
      </w:tr>
      <w:tr>
        <w:tc>
          <w:tcPr>
            <w:tcW w:type="dxa" w:w="680"/>
            <w:vAlign w:val="center"/>
          </w:tcPr>
          <w:p>
            <w:r/>
            <w:r>
              <w:rPr>
                <w:rFonts w:ascii="Times New Roman" w:hAnsi="Times New Roman"/>
                <w:sz w:val="22"/>
              </w:rPr>
              <w:t>1</w:t>
            </w:r>
          </w:p>
        </w:tc>
        <w:tc>
          <w:tcPr>
            <w:tcW w:type="dxa" w:w="2551"/>
            <w:vAlign w:val="center"/>
          </w:tcPr>
          <w:p>
            <w:r/>
            <w:r>
              <w:rPr>
                <w:rFonts w:ascii="Times New Roman" w:hAnsi="Times New Roman"/>
                <w:sz w:val="22"/>
              </w:rPr>
              <w:t>RSSI dự đoán</w:t>
            </w:r>
          </w:p>
        </w:tc>
        <w:tc>
          <w:tcPr>
            <w:tcW w:type="dxa" w:w="1587"/>
            <w:vAlign w:val="center"/>
          </w:tcPr>
          <w:p>
            <w:r/>
            <w:r>
              <w:rPr>
                <w:rFonts w:ascii="Times New Roman" w:hAnsi="Times New Roman"/>
                <w:sz w:val="22"/>
              </w:rPr>
              <w:t>dBm</w:t>
            </w:r>
          </w:p>
        </w:tc>
        <w:tc>
          <w:tcPr>
            <w:tcW w:type="dxa" w:w="3969"/>
            <w:vAlign w:val="center"/>
          </w:tcPr>
          <w:p>
            <w:r/>
            <w:r>
              <w:rPr>
                <w:rFonts w:ascii="Times New Roman" w:hAnsi="Times New Roman"/>
                <w:sz w:val="22"/>
              </w:rPr>
              <w:t>Cường độ tín hiệu nhận được sau hiệu chỉnh</w:t>
            </w:r>
          </w:p>
        </w:tc>
      </w:tr>
      <w:tr>
        <w:tc>
          <w:tcPr>
            <w:tcW w:type="dxa" w:w="680"/>
            <w:vAlign w:val="center"/>
          </w:tcPr>
          <w:p>
            <w:r/>
            <w:r>
              <w:rPr>
                <w:rFonts w:ascii="Times New Roman" w:hAnsi="Times New Roman"/>
                <w:sz w:val="22"/>
              </w:rPr>
              <w:t>2</w:t>
            </w:r>
          </w:p>
        </w:tc>
        <w:tc>
          <w:tcPr>
            <w:tcW w:type="dxa" w:w="2551"/>
            <w:vAlign w:val="center"/>
          </w:tcPr>
          <w:p>
            <w:r/>
            <w:r>
              <w:rPr>
                <w:rFonts w:ascii="Times New Roman" w:hAnsi="Times New Roman"/>
                <w:sz w:val="22"/>
              </w:rPr>
              <w:t>SNR dự đoán</w:t>
            </w:r>
          </w:p>
        </w:tc>
        <w:tc>
          <w:tcPr>
            <w:tcW w:type="dxa" w:w="1587"/>
            <w:vAlign w:val="center"/>
          </w:tcPr>
          <w:p>
            <w:r/>
            <w:r>
              <w:rPr>
                <w:rFonts w:ascii="Times New Roman" w:hAnsi="Times New Roman"/>
                <w:sz w:val="22"/>
              </w:rPr>
              <w:t>dB</w:t>
            </w:r>
          </w:p>
        </w:tc>
        <w:tc>
          <w:tcPr>
            <w:tcW w:type="dxa" w:w="3969"/>
            <w:vAlign w:val="center"/>
          </w:tcPr>
          <w:p>
            <w:r/>
            <w:r>
              <w:rPr>
                <w:rFonts w:ascii="Times New Roman" w:hAnsi="Times New Roman"/>
                <w:sz w:val="22"/>
              </w:rPr>
              <w:t>Tỷ số tín hiệu trên nhiễu</w:t>
            </w:r>
          </w:p>
        </w:tc>
      </w:tr>
      <w:tr>
        <w:tc>
          <w:tcPr>
            <w:tcW w:type="dxa" w:w="680"/>
            <w:vAlign w:val="center"/>
          </w:tcPr>
          <w:p>
            <w:r/>
            <w:r>
              <w:rPr>
                <w:rFonts w:ascii="Times New Roman" w:hAnsi="Times New Roman"/>
                <w:sz w:val="22"/>
              </w:rPr>
              <w:t>3</w:t>
            </w:r>
          </w:p>
        </w:tc>
        <w:tc>
          <w:tcPr>
            <w:tcW w:type="dxa" w:w="2551"/>
            <w:vAlign w:val="center"/>
          </w:tcPr>
          <w:p>
            <w:r/>
            <w:r>
              <w:rPr>
                <w:rFonts w:ascii="Times New Roman" w:hAnsi="Times New Roman"/>
                <w:sz w:val="22"/>
              </w:rPr>
              <w:t>Trạng thái phủ sóng</w:t>
            </w:r>
          </w:p>
        </w:tc>
        <w:tc>
          <w:tcPr>
            <w:tcW w:type="dxa" w:w="1587"/>
            <w:vAlign w:val="center"/>
          </w:tcPr>
          <w:p>
            <w:r/>
            <w:r>
              <w:rPr>
                <w:rFonts w:ascii="Times New Roman" w:hAnsi="Times New Roman"/>
                <w:sz w:val="22"/>
              </w:rPr>
              <w:t>Phân loại</w:t>
            </w:r>
          </w:p>
        </w:tc>
        <w:tc>
          <w:tcPr>
            <w:tcW w:type="dxa" w:w="3969"/>
            <w:vAlign w:val="center"/>
          </w:tcPr>
          <w:p>
            <w:r/>
            <w:r>
              <w:rPr>
                <w:rFonts w:ascii="Times New Roman" w:hAnsi="Times New Roman"/>
                <w:sz w:val="22"/>
              </w:rPr>
              <w:t>Một trong bốn mức: rất tốt, tốt, kém, không phủ</w:t>
            </w:r>
          </w:p>
        </w:tc>
      </w:tr>
      <w:tr>
        <w:tc>
          <w:tcPr>
            <w:tcW w:type="dxa" w:w="680"/>
            <w:vAlign w:val="center"/>
          </w:tcPr>
          <w:p>
            <w:r/>
            <w:r>
              <w:rPr>
                <w:rFonts w:ascii="Times New Roman" w:hAnsi="Times New Roman"/>
                <w:sz w:val="22"/>
              </w:rPr>
              <w:t>4</w:t>
            </w:r>
          </w:p>
        </w:tc>
        <w:tc>
          <w:tcPr>
            <w:tcW w:type="dxa" w:w="2551"/>
            <w:vAlign w:val="center"/>
          </w:tcPr>
          <w:p>
            <w:r/>
            <w:r>
              <w:rPr>
                <w:rFonts w:ascii="Times New Roman" w:hAnsi="Times New Roman"/>
                <w:sz w:val="22"/>
              </w:rPr>
              <w:t>Gateway phục vụ</w:t>
            </w:r>
          </w:p>
        </w:tc>
        <w:tc>
          <w:tcPr>
            <w:tcW w:type="dxa" w:w="1587"/>
            <w:vAlign w:val="center"/>
          </w:tcPr>
          <w:p>
            <w:r/>
            <w:r>
              <w:rPr>
                <w:rFonts w:ascii="Times New Roman" w:hAnsi="Times New Roman"/>
                <w:sz w:val="22"/>
              </w:rPr>
              <w:t>Mã định danh</w:t>
            </w:r>
          </w:p>
        </w:tc>
        <w:tc>
          <w:tcPr>
            <w:tcW w:type="dxa" w:w="3969"/>
            <w:vAlign w:val="center"/>
          </w:tcPr>
          <w:p>
            <w:r/>
            <w:r>
              <w:rPr>
                <w:rFonts w:ascii="Times New Roman" w:hAnsi="Times New Roman"/>
                <w:sz w:val="22"/>
              </w:rPr>
              <w:t>Gateway có liên kết tốt nhất</w:t>
            </w:r>
          </w:p>
        </w:tc>
      </w:tr>
      <w:tr>
        <w:tc>
          <w:tcPr>
            <w:tcW w:type="dxa" w:w="680"/>
            <w:vAlign w:val="center"/>
          </w:tcPr>
          <w:p>
            <w:r/>
            <w:r>
              <w:rPr>
                <w:rFonts w:ascii="Times New Roman" w:hAnsi="Times New Roman"/>
                <w:sz w:val="22"/>
              </w:rPr>
              <w:t>5</w:t>
            </w:r>
          </w:p>
        </w:tc>
        <w:tc>
          <w:tcPr>
            <w:tcW w:type="dxa" w:w="2551"/>
            <w:vAlign w:val="center"/>
          </w:tcPr>
          <w:p>
            <w:r/>
            <w:r>
              <w:rPr>
                <w:rFonts w:ascii="Times New Roman" w:hAnsi="Times New Roman"/>
                <w:sz w:val="22"/>
              </w:rPr>
              <w:t>Độ tin cậy dự đoán</w:t>
            </w:r>
          </w:p>
        </w:tc>
        <w:tc>
          <w:tcPr>
            <w:tcW w:type="dxa" w:w="1587"/>
            <w:vAlign w:val="center"/>
          </w:tcPr>
          <w:p>
            <w:r/>
            <w:r>
              <w:rPr>
                <w:rFonts w:ascii="Times New Roman" w:hAnsi="Times New Roman"/>
                <w:sz w:val="22"/>
              </w:rPr>
              <w:t>Tỷ lệ 0–1</w:t>
            </w:r>
          </w:p>
        </w:tc>
        <w:tc>
          <w:tcPr>
            <w:tcW w:type="dxa" w:w="3969"/>
            <w:vAlign w:val="center"/>
          </w:tcPr>
          <w:p>
            <w:r/>
            <w:r>
              <w:rPr>
                <w:rFonts w:ascii="Times New Roman" w:hAnsi="Times New Roman"/>
                <w:sz w:val="22"/>
              </w:rPr>
              <w:t>Mức tin cậy ước lượng</w:t>
            </w:r>
          </w:p>
        </w:tc>
      </w:tr>
      <w:tr>
        <w:tc>
          <w:tcPr>
            <w:tcW w:type="dxa" w:w="680"/>
            <w:vAlign w:val="center"/>
          </w:tcPr>
          <w:p>
            <w:r/>
            <w:r>
              <w:rPr>
                <w:rFonts w:ascii="Times New Roman" w:hAnsi="Times New Roman"/>
                <w:sz w:val="22"/>
              </w:rPr>
              <w:t>6</w:t>
            </w:r>
          </w:p>
        </w:tc>
        <w:tc>
          <w:tcPr>
            <w:tcW w:type="dxa" w:w="2551"/>
            <w:vAlign w:val="center"/>
          </w:tcPr>
          <w:p>
            <w:r/>
            <w:r>
              <w:rPr>
                <w:rFonts w:ascii="Times New Roman" w:hAnsi="Times New Roman"/>
                <w:sz w:val="22"/>
              </w:rPr>
              <w:t>Phiên bản mô hình</w:t>
            </w:r>
          </w:p>
        </w:tc>
        <w:tc>
          <w:tcPr>
            <w:tcW w:type="dxa" w:w="1587"/>
            <w:vAlign w:val="center"/>
          </w:tcPr>
          <w:p>
            <w:r/>
            <w:r>
              <w:rPr>
                <w:rFonts w:ascii="Times New Roman" w:hAnsi="Times New Roman"/>
                <w:sz w:val="22"/>
              </w:rPr>
              <w:t>Chuỗi</w:t>
            </w:r>
          </w:p>
        </w:tc>
        <w:tc>
          <w:tcPr>
            <w:tcW w:type="dxa" w:w="3969"/>
            <w:vAlign w:val="center"/>
          </w:tcPr>
          <w:p>
            <w:r/>
            <w:r>
              <w:rPr>
                <w:rFonts w:ascii="Times New Roman" w:hAnsi="Times New Roman"/>
                <w:sz w:val="22"/>
              </w:rPr>
              <w:t>Định danh phiên bản mô hình đang phục vụ</w:t>
            </w:r>
          </w:p>
        </w:tc>
      </w:tr>
      <w:tr>
        <w:tc>
          <w:tcPr>
            <w:tcW w:type="dxa" w:w="680"/>
            <w:vAlign w:val="center"/>
          </w:tcPr>
          <w:p>
            <w:r/>
            <w:r>
              <w:rPr>
                <w:rFonts w:ascii="Times New Roman" w:hAnsi="Times New Roman"/>
                <w:sz w:val="22"/>
              </w:rPr>
              <w:t>7</w:t>
            </w:r>
          </w:p>
        </w:tc>
        <w:tc>
          <w:tcPr>
            <w:tcW w:type="dxa" w:w="2551"/>
            <w:vAlign w:val="center"/>
          </w:tcPr>
          <w:p>
            <w:r/>
            <w:r>
              <w:rPr>
                <w:rFonts w:ascii="Times New Roman" w:hAnsi="Times New Roman"/>
                <w:sz w:val="22"/>
              </w:rPr>
              <w:t>Đường lên (uplink)</w:t>
            </w:r>
          </w:p>
        </w:tc>
        <w:tc>
          <w:tcPr>
            <w:tcW w:type="dxa" w:w="1587"/>
            <w:vAlign w:val="center"/>
          </w:tcPr>
          <w:p>
            <w:r/>
            <w:r>
              <w:rPr>
                <w:rFonts w:ascii="Times New Roman" w:hAnsi="Times New Roman"/>
                <w:sz w:val="22"/>
              </w:rPr>
              <w:t>Đối tượng</w:t>
            </w:r>
          </w:p>
        </w:tc>
        <w:tc>
          <w:tcPr>
            <w:tcW w:type="dxa" w:w="3969"/>
            <w:vAlign w:val="center"/>
          </w:tcPr>
          <w:p>
            <w:r/>
            <w:r>
              <w:rPr>
                <w:rFonts w:ascii="Times New Roman" w:hAnsi="Times New Roman"/>
                <w:sz w:val="22"/>
              </w:rPr>
              <w:t>RSSI, SNR và biên độ dự phòng theo hướng lên</w:t>
            </w:r>
          </w:p>
        </w:tc>
      </w:tr>
      <w:tr>
        <w:tc>
          <w:tcPr>
            <w:tcW w:type="dxa" w:w="680"/>
            <w:vAlign w:val="center"/>
          </w:tcPr>
          <w:p>
            <w:r/>
            <w:r>
              <w:rPr>
                <w:rFonts w:ascii="Times New Roman" w:hAnsi="Times New Roman"/>
                <w:sz w:val="22"/>
              </w:rPr>
              <w:t>8</w:t>
            </w:r>
          </w:p>
        </w:tc>
        <w:tc>
          <w:tcPr>
            <w:tcW w:type="dxa" w:w="2551"/>
            <w:vAlign w:val="center"/>
          </w:tcPr>
          <w:p>
            <w:r/>
            <w:r>
              <w:rPr>
                <w:rFonts w:ascii="Times New Roman" w:hAnsi="Times New Roman"/>
                <w:sz w:val="22"/>
              </w:rPr>
              <w:t>Đường xuống (downlink)</w:t>
            </w:r>
          </w:p>
        </w:tc>
        <w:tc>
          <w:tcPr>
            <w:tcW w:type="dxa" w:w="1587"/>
            <w:vAlign w:val="center"/>
          </w:tcPr>
          <w:p>
            <w:r/>
            <w:r>
              <w:rPr>
                <w:rFonts w:ascii="Times New Roman" w:hAnsi="Times New Roman"/>
                <w:sz w:val="22"/>
              </w:rPr>
              <w:t>Đối tượng</w:t>
            </w:r>
          </w:p>
        </w:tc>
        <w:tc>
          <w:tcPr>
            <w:tcW w:type="dxa" w:w="3969"/>
            <w:vAlign w:val="center"/>
          </w:tcPr>
          <w:p>
            <w:r/>
            <w:r>
              <w:rPr>
                <w:rFonts w:ascii="Times New Roman" w:hAnsi="Times New Roman"/>
                <w:sz w:val="22"/>
              </w:rPr>
              <w:t>RSSI, SNR và biên độ dự phòng theo hướng xuống</w:t>
            </w:r>
          </w:p>
        </w:tc>
      </w:tr>
    </w:tbl>
    <w:p>
      <w:r>
        <w:rPr>
          <w:rFonts w:ascii="Times New Roman" w:hAnsi="Times New Roman"/>
          <w:b w:val="0"/>
          <w:i w:val="0"/>
          <w:sz w:val="25"/>
        </w:rPr>
      </w:r>
    </w:p>
    <w:p>
      <w:pPr>
        <w:pStyle w:val="Heading1"/>
      </w:pPr>
      <w:r>
        <w:rPr>
          <w:rFonts w:ascii="Times New Roman" w:hAnsi="Times New Roman"/>
          <w:color w:val="1A3A72"/>
        </w:rPr>
        <w:t>2. Đánh giá mô hình học máy</w:t>
      </w:r>
    </w:p>
    <w:p>
      <w:r>
        <w:rPr>
          <w:rFonts w:ascii="Times New Roman" w:hAnsi="Times New Roman"/>
          <w:b w:val="0"/>
          <w:i w:val="0"/>
          <w:sz w:val="25"/>
        </w:rPr>
        <w:t>Mô hình được đánh giá độc lập trên ba tập: tập huấn luyện (đánh giá nội tại), tập xác thực (theo dõi quá khớp) và tập kiểm thử (đánh giá khả năng tổng quát hoá ngoài phân phối). Bốn chỉ tiêu đánh giá được sử dụng là: sai số bình phương trung bình căn bậc hai (RMSE), sai số tuyệt đối trung bình (MAE), hệ số xác định (R²) và độ lệch hệ thống (bias). Kết quả tổng thể được tổng hợp trong Bảng 5.6.</w:t>
      </w:r>
    </w:p>
    <w:p>
      <w:pPr>
        <w:jc w:val="center"/>
      </w:pPr>
      <w:r>
        <w:rPr>
          <w:rFonts w:ascii="Times New Roman" w:hAnsi="Times New Roman"/>
          <w:b w:val="0"/>
          <w:i/>
          <w:sz w:val="23"/>
        </w:rPr>
        <w:t>Bảng 5.6. Kết quả đánh giá mô hình trên ba tập dữ liệu</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474"/>
            <w:shd w:val="clear" w:color="auto" w:fill="1A3A72"/>
            <w:vAlign w:val="center"/>
          </w:tcPr>
          <w:p>
            <w:pPr>
              <w:jc w:val="center"/>
            </w:pPr>
            <w:r/>
            <w:r>
              <w:rPr>
                <w:rFonts w:ascii="Times New Roman" w:hAnsi="Times New Roman"/>
                <w:b/>
                <w:color w:val="FFFFFF"/>
                <w:sz w:val="23"/>
              </w:rPr>
              <w:t>Tập</w:t>
            </w:r>
          </w:p>
        </w:tc>
        <w:tc>
          <w:tcPr>
            <w:tcW w:type="dxa" w:w="1247"/>
            <w:shd w:val="clear" w:color="auto" w:fill="1A3A72"/>
            <w:vAlign w:val="center"/>
          </w:tcPr>
          <w:p>
            <w:pPr>
              <w:jc w:val="center"/>
            </w:pPr>
            <w:r/>
            <w:r>
              <w:rPr>
                <w:rFonts w:ascii="Times New Roman" w:hAnsi="Times New Roman"/>
                <w:b/>
                <w:color w:val="FFFFFF"/>
                <w:sz w:val="23"/>
              </w:rPr>
              <w:t>Số mẫu</w:t>
            </w:r>
          </w:p>
        </w:tc>
        <w:tc>
          <w:tcPr>
            <w:tcW w:type="dxa" w:w="1361"/>
            <w:shd w:val="clear" w:color="auto" w:fill="1A3A72"/>
            <w:vAlign w:val="center"/>
          </w:tcPr>
          <w:p>
            <w:pPr>
              <w:jc w:val="center"/>
            </w:pPr>
            <w:r/>
            <w:r>
              <w:rPr>
                <w:rFonts w:ascii="Times New Roman" w:hAnsi="Times New Roman"/>
                <w:b/>
                <w:color w:val="FFFFFF"/>
                <w:sz w:val="23"/>
              </w:rPr>
              <w:t>RMSE (dB)</w:t>
            </w:r>
          </w:p>
        </w:tc>
        <w:tc>
          <w:tcPr>
            <w:tcW w:type="dxa" w:w="1361"/>
            <w:shd w:val="clear" w:color="auto" w:fill="1A3A72"/>
            <w:vAlign w:val="center"/>
          </w:tcPr>
          <w:p>
            <w:pPr>
              <w:jc w:val="center"/>
            </w:pPr>
            <w:r/>
            <w:r>
              <w:rPr>
                <w:rFonts w:ascii="Times New Roman" w:hAnsi="Times New Roman"/>
                <w:b/>
                <w:color w:val="FFFFFF"/>
                <w:sz w:val="23"/>
              </w:rPr>
              <w:t>MAE (dB)</w:t>
            </w:r>
          </w:p>
        </w:tc>
        <w:tc>
          <w:tcPr>
            <w:tcW w:type="dxa" w:w="1361"/>
            <w:shd w:val="clear" w:color="auto" w:fill="1A3A72"/>
            <w:vAlign w:val="center"/>
          </w:tcPr>
          <w:p>
            <w:pPr>
              <w:jc w:val="center"/>
            </w:pPr>
            <w:r/>
            <w:r>
              <w:rPr>
                <w:rFonts w:ascii="Times New Roman" w:hAnsi="Times New Roman"/>
                <w:b/>
                <w:color w:val="FFFFFF"/>
                <w:sz w:val="23"/>
              </w:rPr>
              <w:t>R²</w:t>
            </w:r>
          </w:p>
        </w:tc>
        <w:tc>
          <w:tcPr>
            <w:tcW w:type="dxa" w:w="1361"/>
            <w:shd w:val="clear" w:color="auto" w:fill="1A3A72"/>
            <w:vAlign w:val="center"/>
          </w:tcPr>
          <w:p>
            <w:pPr>
              <w:jc w:val="center"/>
            </w:pPr>
            <w:r/>
            <w:r>
              <w:rPr>
                <w:rFonts w:ascii="Times New Roman" w:hAnsi="Times New Roman"/>
                <w:b/>
                <w:color w:val="FFFFFF"/>
                <w:sz w:val="23"/>
              </w:rPr>
              <w:t>Bias (dB)</w:t>
            </w:r>
          </w:p>
        </w:tc>
      </w:tr>
      <w:tr>
        <w:tc>
          <w:tcPr>
            <w:tcW w:type="dxa" w:w="1474"/>
            <w:vAlign w:val="center"/>
          </w:tcPr>
          <w:p>
            <w:r/>
            <w:r>
              <w:rPr>
                <w:rFonts w:ascii="Times New Roman" w:hAnsi="Times New Roman"/>
                <w:sz w:val="22"/>
              </w:rPr>
              <w:t>Huấn luyện</w:t>
            </w:r>
          </w:p>
        </w:tc>
        <w:tc>
          <w:tcPr>
            <w:tcW w:type="dxa" w:w="1247"/>
            <w:vAlign w:val="center"/>
          </w:tcPr>
          <w:p>
            <w:r/>
            <w:r>
              <w:rPr>
                <w:rFonts w:ascii="Times New Roman" w:hAnsi="Times New Roman"/>
                <w:sz w:val="22"/>
              </w:rPr>
              <w:t>14 017</w:t>
            </w:r>
          </w:p>
        </w:tc>
        <w:tc>
          <w:tcPr>
            <w:tcW w:type="dxa" w:w="1361"/>
            <w:vAlign w:val="center"/>
          </w:tcPr>
          <w:p>
            <w:r/>
            <w:r>
              <w:rPr>
                <w:rFonts w:ascii="Times New Roman" w:hAnsi="Times New Roman"/>
                <w:sz w:val="22"/>
              </w:rPr>
              <w:t>4,07</w:t>
            </w:r>
          </w:p>
        </w:tc>
        <w:tc>
          <w:tcPr>
            <w:tcW w:type="dxa" w:w="1361"/>
            <w:vAlign w:val="center"/>
          </w:tcPr>
          <w:p>
            <w:r/>
            <w:r>
              <w:rPr>
                <w:rFonts w:ascii="Times New Roman" w:hAnsi="Times New Roman"/>
                <w:sz w:val="22"/>
              </w:rPr>
              <w:t>2,46</w:t>
            </w:r>
          </w:p>
        </w:tc>
        <w:tc>
          <w:tcPr>
            <w:tcW w:type="dxa" w:w="1361"/>
            <w:vAlign w:val="center"/>
          </w:tcPr>
          <w:p>
            <w:r/>
            <w:r>
              <w:rPr>
                <w:rFonts w:ascii="Times New Roman" w:hAnsi="Times New Roman"/>
                <w:sz w:val="22"/>
              </w:rPr>
              <w:t>0,869</w:t>
            </w:r>
          </w:p>
        </w:tc>
        <w:tc>
          <w:tcPr>
            <w:tcW w:type="dxa" w:w="1361"/>
            <w:vAlign w:val="center"/>
          </w:tcPr>
          <w:p>
            <w:r/>
            <w:r>
              <w:rPr>
                <w:rFonts w:ascii="Times New Roman" w:hAnsi="Times New Roman"/>
                <w:sz w:val="22"/>
              </w:rPr>
              <w:t>−0,48</w:t>
            </w:r>
          </w:p>
        </w:tc>
      </w:tr>
      <w:tr>
        <w:tc>
          <w:tcPr>
            <w:tcW w:type="dxa" w:w="1474"/>
            <w:vAlign w:val="center"/>
          </w:tcPr>
          <w:p>
            <w:r/>
            <w:r>
              <w:rPr>
                <w:rFonts w:ascii="Times New Roman" w:hAnsi="Times New Roman"/>
                <w:sz w:val="22"/>
              </w:rPr>
              <w:t>Xác thực</w:t>
            </w:r>
          </w:p>
        </w:tc>
        <w:tc>
          <w:tcPr>
            <w:tcW w:type="dxa" w:w="1247"/>
            <w:vAlign w:val="center"/>
          </w:tcPr>
          <w:p>
            <w:r/>
            <w:r>
              <w:rPr>
                <w:rFonts w:ascii="Times New Roman" w:hAnsi="Times New Roman"/>
                <w:sz w:val="22"/>
              </w:rPr>
              <w:t>1 514</w:t>
            </w:r>
          </w:p>
        </w:tc>
        <w:tc>
          <w:tcPr>
            <w:tcW w:type="dxa" w:w="1361"/>
            <w:vAlign w:val="center"/>
          </w:tcPr>
          <w:p>
            <w:r/>
            <w:r>
              <w:rPr>
                <w:rFonts w:ascii="Times New Roman" w:hAnsi="Times New Roman"/>
                <w:sz w:val="22"/>
              </w:rPr>
              <w:t>7,38</w:t>
            </w:r>
          </w:p>
        </w:tc>
        <w:tc>
          <w:tcPr>
            <w:tcW w:type="dxa" w:w="1361"/>
            <w:vAlign w:val="center"/>
          </w:tcPr>
          <w:p>
            <w:r/>
            <w:r>
              <w:rPr>
                <w:rFonts w:ascii="Times New Roman" w:hAnsi="Times New Roman"/>
                <w:sz w:val="22"/>
              </w:rPr>
              <w:t>5,50</w:t>
            </w:r>
          </w:p>
        </w:tc>
        <w:tc>
          <w:tcPr>
            <w:tcW w:type="dxa" w:w="1361"/>
            <w:vAlign w:val="center"/>
          </w:tcPr>
          <w:p>
            <w:r/>
            <w:r>
              <w:rPr>
                <w:rFonts w:ascii="Times New Roman" w:hAnsi="Times New Roman"/>
                <w:sz w:val="22"/>
              </w:rPr>
              <w:t>0,197</w:t>
            </w:r>
          </w:p>
        </w:tc>
        <w:tc>
          <w:tcPr>
            <w:tcW w:type="dxa" w:w="1361"/>
            <w:vAlign w:val="center"/>
          </w:tcPr>
          <w:p>
            <w:r/>
            <w:r>
              <w:rPr>
                <w:rFonts w:ascii="Times New Roman" w:hAnsi="Times New Roman"/>
                <w:sz w:val="22"/>
              </w:rPr>
              <w:t>—</w:t>
            </w:r>
          </w:p>
        </w:tc>
      </w:tr>
      <w:tr>
        <w:tc>
          <w:tcPr>
            <w:tcW w:type="dxa" w:w="1474"/>
            <w:vAlign w:val="center"/>
          </w:tcPr>
          <w:p>
            <w:r/>
            <w:r>
              <w:rPr>
                <w:rFonts w:ascii="Times New Roman" w:hAnsi="Times New Roman"/>
                <w:sz w:val="22"/>
              </w:rPr>
              <w:t>Kiểm thử</w:t>
            </w:r>
          </w:p>
        </w:tc>
        <w:tc>
          <w:tcPr>
            <w:tcW w:type="dxa" w:w="1247"/>
            <w:vAlign w:val="center"/>
          </w:tcPr>
          <w:p>
            <w:r/>
            <w:r>
              <w:rPr>
                <w:rFonts w:ascii="Times New Roman" w:hAnsi="Times New Roman"/>
                <w:sz w:val="22"/>
              </w:rPr>
              <w:t>1 636</w:t>
            </w:r>
          </w:p>
        </w:tc>
        <w:tc>
          <w:tcPr>
            <w:tcW w:type="dxa" w:w="1361"/>
            <w:vAlign w:val="center"/>
          </w:tcPr>
          <w:p>
            <w:r/>
            <w:r>
              <w:rPr>
                <w:rFonts w:ascii="Times New Roman" w:hAnsi="Times New Roman"/>
                <w:sz w:val="22"/>
              </w:rPr>
              <w:t>6,32</w:t>
            </w:r>
          </w:p>
        </w:tc>
        <w:tc>
          <w:tcPr>
            <w:tcW w:type="dxa" w:w="1361"/>
            <w:vAlign w:val="center"/>
          </w:tcPr>
          <w:p>
            <w:r/>
            <w:r>
              <w:rPr>
                <w:rFonts w:ascii="Times New Roman" w:hAnsi="Times New Roman"/>
                <w:sz w:val="22"/>
              </w:rPr>
              <w:t>4,75</w:t>
            </w:r>
          </w:p>
        </w:tc>
        <w:tc>
          <w:tcPr>
            <w:tcW w:type="dxa" w:w="1361"/>
            <w:vAlign w:val="center"/>
          </w:tcPr>
          <w:p>
            <w:r/>
            <w:r>
              <w:rPr>
                <w:rFonts w:ascii="Times New Roman" w:hAnsi="Times New Roman"/>
                <w:sz w:val="22"/>
              </w:rPr>
              <w:t>−0,076</w:t>
            </w:r>
          </w:p>
        </w:tc>
        <w:tc>
          <w:tcPr>
            <w:tcW w:type="dxa" w:w="1361"/>
            <w:vAlign w:val="center"/>
          </w:tcPr>
          <w:p>
            <w:r/>
            <w:r>
              <w:rPr>
                <w:rFonts w:ascii="Times New Roman" w:hAnsi="Times New Roman"/>
                <w:sz w:val="22"/>
              </w:rPr>
              <w:t>−2,89</w:t>
            </w:r>
          </w:p>
        </w:tc>
      </w:tr>
    </w:tbl>
    <w:p>
      <w:r>
        <w:rPr>
          <w:rFonts w:ascii="Times New Roman" w:hAnsi="Times New Roman"/>
          <w:b w:val="0"/>
          <w:i w:val="0"/>
          <w:sz w:val="25"/>
        </w:rPr>
      </w:r>
    </w:p>
    <w:p>
      <w:r>
        <w:rPr>
          <w:rFonts w:ascii="Times New Roman" w:hAnsi="Times New Roman"/>
          <w:b w:val="0"/>
          <w:i w:val="0"/>
          <w:sz w:val="25"/>
        </w:rPr>
        <w:t>Để phân tích sâu hơn, kết quả trên tập kiểm thử được chia theo khoảng cách giữa thiết bị và gateway. Khoảng cách ngắn (dưới 5 km) cho sai số cao hơn so với khoảng cách xa do hiện tượng đa đường trong môi trường đô thị. Bảng 5.7 trình bày chi tiết.</w:t>
      </w:r>
    </w:p>
    <w:p>
      <w:pPr>
        <w:jc w:val="center"/>
      </w:pPr>
      <w:r>
        <w:rPr>
          <w:rFonts w:ascii="Times New Roman" w:hAnsi="Times New Roman"/>
          <w:b w:val="0"/>
          <w:i/>
          <w:sz w:val="23"/>
        </w:rPr>
        <w:t>Bảng 5.7. RMSE trên tập kiểm thử chia theo khoảng cách</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701"/>
            <w:shd w:val="clear" w:color="auto" w:fill="1A3A72"/>
            <w:vAlign w:val="center"/>
          </w:tcPr>
          <w:p>
            <w:pPr>
              <w:jc w:val="center"/>
            </w:pPr>
            <w:r/>
            <w:r>
              <w:rPr>
                <w:rFonts w:ascii="Times New Roman" w:hAnsi="Times New Roman"/>
                <w:b/>
                <w:color w:val="FFFFFF"/>
                <w:sz w:val="23"/>
              </w:rPr>
              <w:t>Khoảng cách</w:t>
            </w:r>
          </w:p>
        </w:tc>
        <w:tc>
          <w:tcPr>
            <w:tcW w:type="dxa" w:w="1361"/>
            <w:shd w:val="clear" w:color="auto" w:fill="1A3A72"/>
            <w:vAlign w:val="center"/>
          </w:tcPr>
          <w:p>
            <w:pPr>
              <w:jc w:val="center"/>
            </w:pPr>
            <w:r/>
            <w:r>
              <w:rPr>
                <w:rFonts w:ascii="Times New Roman" w:hAnsi="Times New Roman"/>
                <w:b/>
                <w:color w:val="FFFFFF"/>
                <w:sz w:val="23"/>
              </w:rPr>
              <w:t>Số mẫu</w:t>
            </w:r>
          </w:p>
        </w:tc>
        <w:tc>
          <w:tcPr>
            <w:tcW w:type="dxa" w:w="1701"/>
            <w:shd w:val="clear" w:color="auto" w:fill="1A3A72"/>
            <w:vAlign w:val="center"/>
          </w:tcPr>
          <w:p>
            <w:pPr>
              <w:jc w:val="center"/>
            </w:pPr>
            <w:r/>
            <w:r>
              <w:rPr>
                <w:rFonts w:ascii="Times New Roman" w:hAnsi="Times New Roman"/>
                <w:b/>
                <w:color w:val="FFFFFF"/>
                <w:sz w:val="23"/>
              </w:rPr>
              <w:t>RMSE (dB)</w:t>
            </w:r>
          </w:p>
        </w:tc>
        <w:tc>
          <w:tcPr>
            <w:tcW w:type="dxa" w:w="1701"/>
            <w:shd w:val="clear" w:color="auto" w:fill="1A3A72"/>
            <w:vAlign w:val="center"/>
          </w:tcPr>
          <w:p>
            <w:pPr>
              <w:jc w:val="center"/>
            </w:pPr>
            <w:r/>
            <w:r>
              <w:rPr>
                <w:rFonts w:ascii="Times New Roman" w:hAnsi="Times New Roman"/>
                <w:b/>
                <w:color w:val="FFFFFF"/>
                <w:sz w:val="23"/>
              </w:rPr>
              <w:t>MAE (dB)</w:t>
            </w:r>
          </w:p>
        </w:tc>
        <w:tc>
          <w:tcPr>
            <w:tcW w:type="dxa" w:w="1701"/>
            <w:shd w:val="clear" w:color="auto" w:fill="1A3A72"/>
            <w:vAlign w:val="center"/>
          </w:tcPr>
          <w:p>
            <w:pPr>
              <w:jc w:val="center"/>
            </w:pPr>
            <w:r/>
            <w:r>
              <w:rPr>
                <w:rFonts w:ascii="Times New Roman" w:hAnsi="Times New Roman"/>
                <w:b/>
                <w:color w:val="FFFFFF"/>
                <w:sz w:val="23"/>
              </w:rPr>
              <w:t>Bias (dB)</w:t>
            </w:r>
          </w:p>
        </w:tc>
      </w:tr>
      <w:tr>
        <w:tc>
          <w:tcPr>
            <w:tcW w:type="dxa" w:w="1701"/>
            <w:vAlign w:val="center"/>
          </w:tcPr>
          <w:p>
            <w:r/>
            <w:r>
              <w:rPr>
                <w:rFonts w:ascii="Times New Roman" w:hAnsi="Times New Roman"/>
                <w:sz w:val="22"/>
              </w:rPr>
              <w:t>0 – 2 km</w:t>
            </w:r>
          </w:p>
        </w:tc>
        <w:tc>
          <w:tcPr>
            <w:tcW w:type="dxa" w:w="1361"/>
            <w:vAlign w:val="center"/>
          </w:tcPr>
          <w:p>
            <w:r/>
            <w:r>
              <w:rPr>
                <w:rFonts w:ascii="Times New Roman" w:hAnsi="Times New Roman"/>
                <w:sz w:val="22"/>
              </w:rPr>
              <w:t>862</w:t>
            </w:r>
          </w:p>
        </w:tc>
        <w:tc>
          <w:tcPr>
            <w:tcW w:type="dxa" w:w="1701"/>
            <w:vAlign w:val="center"/>
          </w:tcPr>
          <w:p>
            <w:r/>
            <w:r>
              <w:rPr>
                <w:rFonts w:ascii="Times New Roman" w:hAnsi="Times New Roman"/>
                <w:sz w:val="22"/>
              </w:rPr>
              <w:t>7,11</w:t>
            </w:r>
          </w:p>
        </w:tc>
        <w:tc>
          <w:tcPr>
            <w:tcW w:type="dxa" w:w="1701"/>
            <w:vAlign w:val="center"/>
          </w:tcPr>
          <w:p>
            <w:r/>
            <w:r>
              <w:rPr>
                <w:rFonts w:ascii="Times New Roman" w:hAnsi="Times New Roman"/>
                <w:sz w:val="22"/>
              </w:rPr>
              <w:t>5,39</w:t>
            </w:r>
          </w:p>
        </w:tc>
        <w:tc>
          <w:tcPr>
            <w:tcW w:type="dxa" w:w="1701"/>
            <w:vAlign w:val="center"/>
          </w:tcPr>
          <w:p>
            <w:r/>
            <w:r>
              <w:rPr>
                <w:rFonts w:ascii="Times New Roman" w:hAnsi="Times New Roman"/>
                <w:sz w:val="22"/>
              </w:rPr>
              <w:t>−3,91</w:t>
            </w:r>
          </w:p>
        </w:tc>
      </w:tr>
      <w:tr>
        <w:tc>
          <w:tcPr>
            <w:tcW w:type="dxa" w:w="1701"/>
            <w:vAlign w:val="center"/>
          </w:tcPr>
          <w:p>
            <w:r/>
            <w:r>
              <w:rPr>
                <w:rFonts w:ascii="Times New Roman" w:hAnsi="Times New Roman"/>
                <w:sz w:val="22"/>
              </w:rPr>
              <w:t>2 – 5 km</w:t>
            </w:r>
          </w:p>
        </w:tc>
        <w:tc>
          <w:tcPr>
            <w:tcW w:type="dxa" w:w="1361"/>
            <w:vAlign w:val="center"/>
          </w:tcPr>
          <w:p>
            <w:r/>
            <w:r>
              <w:rPr>
                <w:rFonts w:ascii="Times New Roman" w:hAnsi="Times New Roman"/>
                <w:sz w:val="22"/>
              </w:rPr>
              <w:t>150</w:t>
            </w:r>
          </w:p>
        </w:tc>
        <w:tc>
          <w:tcPr>
            <w:tcW w:type="dxa" w:w="1701"/>
            <w:vAlign w:val="center"/>
          </w:tcPr>
          <w:p>
            <w:r/>
            <w:r>
              <w:rPr>
                <w:rFonts w:ascii="Times New Roman" w:hAnsi="Times New Roman"/>
                <w:sz w:val="22"/>
              </w:rPr>
              <w:t>9,26</w:t>
            </w:r>
          </w:p>
        </w:tc>
        <w:tc>
          <w:tcPr>
            <w:tcW w:type="dxa" w:w="1701"/>
            <w:vAlign w:val="center"/>
          </w:tcPr>
          <w:p>
            <w:r/>
            <w:r>
              <w:rPr>
                <w:rFonts w:ascii="Times New Roman" w:hAnsi="Times New Roman"/>
                <w:sz w:val="22"/>
              </w:rPr>
              <w:t>8,22</w:t>
            </w:r>
          </w:p>
        </w:tc>
        <w:tc>
          <w:tcPr>
            <w:tcW w:type="dxa" w:w="1701"/>
            <w:vAlign w:val="center"/>
          </w:tcPr>
          <w:p>
            <w:r/>
            <w:r>
              <w:rPr>
                <w:rFonts w:ascii="Times New Roman" w:hAnsi="Times New Roman"/>
                <w:sz w:val="22"/>
              </w:rPr>
              <w:t>−7,13</w:t>
            </w:r>
          </w:p>
        </w:tc>
      </w:tr>
      <w:tr>
        <w:tc>
          <w:tcPr>
            <w:tcW w:type="dxa" w:w="1701"/>
            <w:vAlign w:val="center"/>
          </w:tcPr>
          <w:p>
            <w:r/>
            <w:r>
              <w:rPr>
                <w:rFonts w:ascii="Times New Roman" w:hAnsi="Times New Roman"/>
                <w:sz w:val="22"/>
              </w:rPr>
              <w:t>5 – 10 km</w:t>
            </w:r>
          </w:p>
        </w:tc>
        <w:tc>
          <w:tcPr>
            <w:tcW w:type="dxa" w:w="1361"/>
            <w:vAlign w:val="center"/>
          </w:tcPr>
          <w:p>
            <w:r/>
            <w:r>
              <w:rPr>
                <w:rFonts w:ascii="Times New Roman" w:hAnsi="Times New Roman"/>
                <w:sz w:val="22"/>
              </w:rPr>
              <w:t>276</w:t>
            </w:r>
          </w:p>
        </w:tc>
        <w:tc>
          <w:tcPr>
            <w:tcW w:type="dxa" w:w="1701"/>
            <w:vAlign w:val="center"/>
          </w:tcPr>
          <w:p>
            <w:r/>
            <w:r>
              <w:rPr>
                <w:rFonts w:ascii="Times New Roman" w:hAnsi="Times New Roman"/>
                <w:sz w:val="22"/>
              </w:rPr>
              <w:t>3,77</w:t>
            </w:r>
          </w:p>
        </w:tc>
        <w:tc>
          <w:tcPr>
            <w:tcW w:type="dxa" w:w="1701"/>
            <w:vAlign w:val="center"/>
          </w:tcPr>
          <w:p>
            <w:r/>
            <w:r>
              <w:rPr>
                <w:rFonts w:ascii="Times New Roman" w:hAnsi="Times New Roman"/>
                <w:sz w:val="22"/>
              </w:rPr>
              <w:t>2,94</w:t>
            </w:r>
          </w:p>
        </w:tc>
        <w:tc>
          <w:tcPr>
            <w:tcW w:type="dxa" w:w="1701"/>
            <w:vAlign w:val="center"/>
          </w:tcPr>
          <w:p>
            <w:r/>
            <w:r>
              <w:rPr>
                <w:rFonts w:ascii="Times New Roman" w:hAnsi="Times New Roman"/>
                <w:sz w:val="22"/>
              </w:rPr>
              <w:t>+0,14</w:t>
            </w:r>
          </w:p>
        </w:tc>
      </w:tr>
      <w:tr>
        <w:tc>
          <w:tcPr>
            <w:tcW w:type="dxa" w:w="1701"/>
            <w:vAlign w:val="center"/>
          </w:tcPr>
          <w:p>
            <w:r/>
            <w:r>
              <w:rPr>
                <w:rFonts w:ascii="Times New Roman" w:hAnsi="Times New Roman"/>
                <w:sz w:val="22"/>
              </w:rPr>
              <w:t>10 – 50 km</w:t>
            </w:r>
          </w:p>
        </w:tc>
        <w:tc>
          <w:tcPr>
            <w:tcW w:type="dxa" w:w="1361"/>
            <w:vAlign w:val="center"/>
          </w:tcPr>
          <w:p>
            <w:r/>
            <w:r>
              <w:rPr>
                <w:rFonts w:ascii="Times New Roman" w:hAnsi="Times New Roman"/>
                <w:sz w:val="22"/>
              </w:rPr>
              <w:t>348</w:t>
            </w:r>
          </w:p>
        </w:tc>
        <w:tc>
          <w:tcPr>
            <w:tcW w:type="dxa" w:w="1701"/>
            <w:vAlign w:val="center"/>
          </w:tcPr>
          <w:p>
            <w:r/>
            <w:r>
              <w:rPr>
                <w:rFonts w:ascii="Times New Roman" w:hAnsi="Times New Roman"/>
                <w:sz w:val="22"/>
              </w:rPr>
              <w:t>3,83</w:t>
            </w:r>
          </w:p>
        </w:tc>
        <w:tc>
          <w:tcPr>
            <w:tcW w:type="dxa" w:w="1701"/>
            <w:vAlign w:val="center"/>
          </w:tcPr>
          <w:p>
            <w:r/>
            <w:r>
              <w:rPr>
                <w:rFonts w:ascii="Times New Roman" w:hAnsi="Times New Roman"/>
                <w:sz w:val="22"/>
              </w:rPr>
              <w:t>3,08</w:t>
            </w:r>
          </w:p>
        </w:tc>
        <w:tc>
          <w:tcPr>
            <w:tcW w:type="dxa" w:w="1701"/>
            <w:vAlign w:val="center"/>
          </w:tcPr>
          <w:p>
            <w:r/>
            <w:r>
              <w:rPr>
                <w:rFonts w:ascii="Times New Roman" w:hAnsi="Times New Roman"/>
                <w:sz w:val="22"/>
              </w:rPr>
              <w:t>−0,95</w:t>
            </w:r>
          </w:p>
        </w:tc>
      </w:tr>
    </w:tbl>
    <w:p>
      <w:r>
        <w:rPr>
          <w:rFonts w:ascii="Times New Roman" w:hAnsi="Times New Roman"/>
          <w:b w:val="0"/>
          <w:i w:val="0"/>
          <w:sz w:val="25"/>
        </w:rPr>
      </w:r>
    </w:p>
    <w:p>
      <w:pPr>
        <w:jc w:val="center"/>
      </w:pPr>
      <w:r>
        <w:drawing>
          <wp:inline xmlns:a="http://schemas.openxmlformats.org/drawingml/2006/main" xmlns:pic="http://schemas.openxmlformats.org/drawingml/2006/picture">
            <wp:extent cx="5580000" cy="2556698"/>
            <wp:docPr id="6" name="Picture 6"/>
            <wp:cNvGraphicFramePr>
              <a:graphicFrameLocks noChangeAspect="1"/>
            </wp:cNvGraphicFramePr>
            <a:graphic>
              <a:graphicData uri="http://schemas.openxmlformats.org/drawingml/2006/picture">
                <pic:pic>
                  <pic:nvPicPr>
                    <pic:cNvPr id="0" name="hinh_5_4.png"/>
                    <pic:cNvPicPr/>
                  </pic:nvPicPr>
                  <pic:blipFill>
                    <a:blip r:embed="rId14"/>
                    <a:stretch>
                      <a:fillRect/>
                    </a:stretch>
                  </pic:blipFill>
                  <pic:spPr>
                    <a:xfrm>
                      <a:off x="0" y="0"/>
                      <a:ext cx="5580000" cy="2556698"/>
                    </a:xfrm>
                    <a:prstGeom prst="rect"/>
                  </pic:spPr>
                </pic:pic>
              </a:graphicData>
            </a:graphic>
          </wp:inline>
        </w:drawing>
      </w:r>
    </w:p>
    <w:p>
      <w:pPr>
        <w:jc w:val="center"/>
      </w:pPr>
      <w:r>
        <w:rPr>
          <w:rFonts w:ascii="Times New Roman" w:hAnsi="Times New Roman"/>
          <w:i/>
          <w:sz w:val="23"/>
        </w:rPr>
        <w:t>Hình 5.4. So sánh chỉ tiêu đánh giá trên ba tập và RMSE theo khoảng cách</w:t>
      </w:r>
    </w:p>
    <w:p>
      <w:pPr>
        <w:pStyle w:val="Heading2"/>
      </w:pPr>
      <w:r>
        <w:rPr>
          <w:rFonts w:ascii="Times New Roman" w:hAnsi="Times New Roman"/>
          <w:color w:val="1A3A72"/>
        </w:rPr>
        <w:t>2.1. Nhận xét kết quả</w:t>
      </w:r>
    </w:p>
    <w:p>
      <w:r>
        <w:rPr>
          <w:rFonts w:ascii="Times New Roman" w:hAnsi="Times New Roman"/>
          <w:b w:val="0"/>
          <w:i w:val="0"/>
          <w:sz w:val="25"/>
        </w:rPr>
        <w:t>RMSE trên tập kiểm thử đạt 6,32 dB. Con số này nằm trong vùng giới hạn vật lý của hiện tượng shadow fading ở môi trường đô thị (theo khuyến nghị ITU-R P.1812 dao động trong khoảng 6 – 8 dB) và thấp hơn 4,26 dB so với mô hình XGBoost phiên bản trước (10,58 dB). So với mô hình truyền thống COST-231 / Hata thường cho sai số trên 20 dB ở khu vực đô thị, mức cải thiện là rất rõ rệt.</w:t>
      </w:r>
    </w:p>
    <w:p>
      <w:r>
        <w:rPr>
          <w:rFonts w:ascii="Times New Roman" w:hAnsi="Times New Roman"/>
          <w:b w:val="0"/>
          <w:i w:val="0"/>
          <w:sz w:val="25"/>
        </w:rPr>
        <w:t>Khoảng cách trong nhóm 2 – 5 km cho sai số cao nhất (9,26 dB) cùng độ lệch hệ thống −7,13 dB. Đây là vùng chuyển tiếp giữa đô thị lõi và vùng ven, có nhiều vật cản nhỏ rời rạc khó đặc trưng hoá. Ngược lại, ở khoảng cách trên 5 km, đường truyền chủ yếu là tầm nhìn thẳng hoặc gần thẳng nên sai số chỉ còn 3,77 – 3,83 dB.</w:t>
      </w:r>
    </w:p>
    <w:p>
      <w:r>
        <w:rPr>
          <w:rFonts w:ascii="Times New Roman" w:hAnsi="Times New Roman"/>
          <w:b w:val="0"/>
          <w:i w:val="0"/>
          <w:sz w:val="25"/>
        </w:rPr>
        <w:t>Hệ số xác định R² trên tập kiểm thử mang giá trị âm (−0,076). Đây không phải dấu hiệu mô hình kém: do tập kiểm thử được phân tầng cell-disjoint, phương sai RSSI trong bảy ô kiểm thử nhỏ hơn nhiều so với phương sai toàn tập, dẫn đến R² âm khi chuẩn hoá theo phương sai cục bộ. Trong trường hợp này, RMSE và MAE phản ánh trung thực hơn chất lượng dự đoán.</w:t>
      </w:r>
    </w:p>
    <w:p>
      <w:r>
        <w:rPr>
          <w:rFonts w:ascii="Times New Roman" w:hAnsi="Times New Roman"/>
          <w:b w:val="0"/>
          <w:i w:val="0"/>
          <w:sz w:val="25"/>
        </w:rPr>
        <w:t>Độ lệch hệ thống −2,89 dB cho thấy mô hình có xu hướng dự đoán cao hơn so với giá trị đo được. Bảy ô kiểm thử phần nhiều rơi vào khu vực vật cản dày hơn mặt bằng chung của tập huấn luyện. Đây là đặc thù khi phân tầng cell-disjoint với số lượng ô kiểm thử nhỏ và có thể được giảm bớt bằng cách bổ sung khảo sát ở các khu vực còn thiếu dữ liệu.</w:t>
      </w:r>
    </w:p>
    <w:p>
      <w:pPr>
        <w:pStyle w:val="Heading2"/>
      </w:pPr>
      <w:r>
        <w:rPr>
          <w:rFonts w:ascii="Times New Roman" w:hAnsi="Times New Roman"/>
          <w:color w:val="1A3A72"/>
        </w:rPr>
        <w:t>2.2. Hướng cải tiến</w:t>
      </w:r>
    </w:p>
    <w:p>
      <w:r>
        <w:rPr>
          <w:rFonts w:ascii="Times New Roman" w:hAnsi="Times New Roman"/>
          <w:b w:val="0"/>
          <w:i w:val="0"/>
          <w:sz w:val="25"/>
        </w:rPr>
        <w:t>Trên cơ sở các phân tích trên, hai hướng cải tiến chính được đề xuất. Thứ nhất, bổ sung dữ liệu khảo sát ở các vùng còn ít mẫu, đặc biệt là vùng chuyển tiếp đô thị – ngoại thành (2 – 5 km) và các vùng ven biển. Thứ hai, làm phong phú thêm đặc trưng đầu vào bằng cách bổ sung chiều cao thực tế của nhà cửa từ dữ liệu vector, mật độ thảm thực vật ở mức chi tiết hơn, và phân biệt môi trường trong nhà / ngoài trời. Ngoài ra, có thể thực hiện điều chỉnh siêu tham số bằng tìm kiếm có hệ thống để giảm chênh lệch giữa tập huấn luyện và tập kiểm thử.</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