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color w:val="1F3864"/>
          <w:sz w:val="24"/>
          <w:szCs w:val="24"/>
        </w:rPr>
        <w:t xml:space="preserve">ỦY BAN NHÂN DÂN PHƯỜNG THÔNG TÂY HỘI</w:t>
      </w:r>
    </w:p>
    <w:p>
      <w:pPr>
        <w:spacing w:after="20"/>
        <w:jc w:val="center"/>
      </w:pPr>
      <w:r>
        <w:rPr>
          <w:rFonts w:ascii="Times New Roman" w:cs="Times New Roman" w:eastAsia="Times New Roman" w:hAnsi="Times New Roman"/>
          <w:b/>
          <w:bCs/>
          <w:color w:val="1F3864"/>
          <w:sz w:val="24"/>
          <w:szCs w:val="24"/>
        </w:rPr>
        <w:t xml:space="preserve">BAN CHỈ ĐẠO PHỔ CẬP GIÁO DỤC – XÓA MÙ CHỮ</w:t>
      </w:r>
    </w:p>
    <w:p>
      <w:pPr>
        <w:pBdr>
          <w:bottom w:val="single" w:color="C79A2E" w:sz="12" w:space="6"/>
        </w:pBdr>
        <w:spacing w:after="260"/>
        <w:jc w:val="center"/>
      </w:pPr>
      <w:r>
        <w:rPr>
          <w:rFonts w:ascii="Times New Roman" w:cs="Times New Roman" w:eastAsia="Times New Roman" w:hAnsi="Times New Roman"/>
          <w:color w:val="595959"/>
          <w:sz w:val="22"/>
          <w:szCs w:val="22"/>
        </w:rPr>
        <w:t xml:space="preserve">THÀNH PHỐ HỒ CHÍ MINH</w:t>
      </w:r>
    </w:p>
    <w:p>
      <w:pPr>
        <w:spacing w:after="40" w:before="240"/>
        <w:jc w:val="center"/>
      </w:pPr>
      <w:r>
        <w:rPr>
          <w:rFonts w:ascii="Times New Roman" w:cs="Times New Roman" w:eastAsia="Times New Roman" w:hAnsi="Times New Roman"/>
          <w:b/>
          <w:bCs/>
          <w:caps/>
          <w:color w:val="1F3864"/>
          <w:sz w:val="40"/>
          <w:szCs w:val="40"/>
        </w:rPr>
        <w:t xml:space="preserve">TÀI LIỆU THAM MƯU</w:t>
      </w:r>
    </w:p>
    <w:p>
      <w:pPr>
        <w:spacing w:after="40"/>
        <w:jc w:val="center"/>
      </w:pPr>
      <w:r>
        <w:rPr>
          <w:rFonts w:ascii="Times New Roman" w:cs="Times New Roman" w:eastAsia="Times New Roman" w:hAnsi="Times New Roman"/>
          <w:b/>
          <w:bCs/>
          <w:color w:val="2E5496"/>
          <w:sz w:val="28"/>
          <w:szCs w:val="28"/>
        </w:rPr>
        <w:t xml:space="preserve">Kế hoạch triển khai, quy trình thực hiện và danh mục hồ sơ</w:t>
      </w:r>
    </w:p>
    <w:p>
      <w:pPr>
        <w:spacing w:after="220"/>
        <w:jc w:val="center"/>
      </w:pPr>
      <w:r>
        <w:rPr>
          <w:rFonts w:ascii="Times New Roman" w:cs="Times New Roman" w:eastAsia="Times New Roman" w:hAnsi="Times New Roman"/>
          <w:b/>
          <w:bCs/>
          <w:color w:val="2E5496"/>
          <w:sz w:val="28"/>
          <w:szCs w:val="28"/>
        </w:rPr>
        <w:t xml:space="preserve">CÔNG TÁC PHỔ CẬP GIÁO DỤC – XÓA MÙ CHỮ NĂM 2026</w:t>
      </w:r>
    </w:p>
    <w:p>
      <w:pPr>
        <w:spacing w:after="60"/>
        <w:jc w:val="center"/>
      </w:pPr>
      <w:r>
        <w:rPr>
          <w:rFonts w:ascii="Times New Roman" w:cs="Times New Roman" w:eastAsia="Times New Roman" w:hAnsi="Times New Roman"/>
          <w:i/>
          <w:iCs/>
          <w:sz w:val="26"/>
          <w:szCs w:val="26"/>
        </w:rPr>
        <w:t xml:space="preserve">Đơn vị: Phường Thông Tây Hội – Thành phố Hồ Chí Minh</w:t>
      </w:r>
    </w:p>
    <w:p>
      <w:pPr>
        <w:spacing w:after="300"/>
        <w:jc w:val="center"/>
      </w:pPr>
      <w:r>
        <w:rPr>
          <w:rFonts w:ascii="Times New Roman" w:cs="Times New Roman" w:eastAsia="Times New Roman" w:hAnsi="Times New Roman"/>
          <w:i/>
          <w:iCs/>
          <w:color w:val="595959"/>
          <w:sz w:val="22"/>
          <w:szCs w:val="22"/>
        </w:rPr>
        <w:t xml:space="preserve">(Tham mưu Đảng ủy – Ủy ban nhân dân phường xây dựng lộ trình chỉ đạo)</w:t>
      </w:r>
    </w:p>
    <w:p>
      <w:pPr>
        <w:pBdr>
          <w:bottom w:val="single" w:color="C79A2E" w:sz="8" w:space="1"/>
        </w:pBdr>
        <w:spacing w:after="120" w:before="40"/>
      </w:pPr>
      <w:r>
        <w:rPr>
          <w:rFonts w:ascii="Times New Roman" w:cs="Times New Roman" w:eastAsia="Times New Roman" w:hAnsi="Times New Roman"/>
          <w:sz w:val="24"/>
          <w:szCs w:val="24"/>
        </w:rPr>
        <w:t xml:space="preserve"/>
      </w:r>
    </w:p>
    <w:p>
      <w:pPr>
        <w:spacing w:after="30" w:before="80"/>
        <w:jc w:val="center"/>
      </w:pPr>
      <w:r>
        <w:rPr>
          <w:rFonts w:ascii="Times New Roman" w:cs="Times New Roman" w:eastAsia="Times New Roman" w:hAnsi="Times New Roman"/>
          <w:b/>
          <w:bCs/>
          <w:caps/>
          <w:color w:val="1F3864"/>
          <w:sz w:val="24"/>
          <w:szCs w:val="24"/>
        </w:rPr>
        <w:t xml:space="preserve">Cơ sở pháp lý chủ yếu</w:t>
      </w:r>
    </w:p>
    <w:p>
      <w:pPr>
        <w:spacing w:after="60" w:line="264"/>
        <w:ind w:left="360" w:hanging="200"/>
        <w:jc w:val="left"/>
      </w:pPr>
      <w:r>
        <w:rPr>
          <w:rFonts w:ascii="Times New Roman" w:cs="Times New Roman" w:eastAsia="Times New Roman" w:hAnsi="Times New Roman"/>
          <w:sz w:val="22"/>
          <w:szCs w:val="22"/>
        </w:rPr>
        <w:t xml:space="preserve">– Luật Giáo dục số 43/2019/QH14 ngày 14/6/2019;</w:t>
      </w:r>
    </w:p>
    <w:p>
      <w:pPr>
        <w:spacing w:after="60" w:line="264"/>
        <w:ind w:left="360" w:hanging="200"/>
        <w:jc w:val="left"/>
      </w:pPr>
      <w:r>
        <w:rPr>
          <w:rFonts w:ascii="Times New Roman" w:cs="Times New Roman" w:eastAsia="Times New Roman" w:hAnsi="Times New Roman"/>
          <w:sz w:val="22"/>
          <w:szCs w:val="22"/>
        </w:rPr>
        <w:t xml:space="preserve">– Nghị định số 20/2014/NĐ-CP ngày 24/3/2014 của Chính phủ về phổ cập giáo dục, xóa mù chữ;</w:t>
      </w:r>
    </w:p>
    <w:p>
      <w:pPr>
        <w:spacing w:after="60" w:line="264"/>
        <w:ind w:left="360" w:hanging="200"/>
        <w:jc w:val="left"/>
      </w:pPr>
      <w:r>
        <w:rPr>
          <w:rFonts w:ascii="Times New Roman" w:cs="Times New Roman" w:eastAsia="Times New Roman" w:hAnsi="Times New Roman"/>
          <w:sz w:val="22"/>
          <w:szCs w:val="22"/>
        </w:rPr>
        <w:t xml:space="preserve">– Thông tư số 07/2016/TT-BGDĐT ngày 22/3/2016 của Bộ GD&amp;ĐT quy định về điều kiện bảo đảm và nội dung, quy trình, thủ tục kiểm tra công nhận đạt chuẩn phổ cập giáo dục, xóa mù chữ;</w:t>
      </w:r>
    </w:p>
    <w:p>
      <w:pPr>
        <w:spacing w:after="60" w:line="264"/>
        <w:ind w:left="360" w:hanging="200"/>
        <w:jc w:val="left"/>
      </w:pPr>
      <w:r>
        <w:rPr>
          <w:rFonts w:ascii="Times New Roman" w:cs="Times New Roman" w:eastAsia="Times New Roman" w:hAnsi="Times New Roman"/>
          <w:sz w:val="22"/>
          <w:szCs w:val="22"/>
        </w:rPr>
        <w:t xml:space="preserve">– Các văn bản chỉ đạo, hướng dẫn hằng năm của Sở GD&amp;ĐT Thành phố Hồ Chí Minh và của Ủy ban nhân dân Thành phố.</w:t>
      </w:r>
    </w:p>
    <w:p>
      <w:pPr>
        <w:spacing w:before="260"/>
        <w:jc w:val="right"/>
      </w:pPr>
      <w:r>
        <w:rPr>
          <w:rFonts w:ascii="Times New Roman" w:cs="Times New Roman" w:eastAsia="Times New Roman" w:hAnsi="Times New Roman"/>
          <w:i/>
          <w:iCs/>
          <w:color w:val="595959"/>
          <w:sz w:val="22"/>
          <w:szCs w:val="22"/>
        </w:rPr>
        <w:t xml:space="preserve">Thành phố Hồ Chí Minh, năm 2026</w:t>
      </w:r>
    </w:p>
    <w:p>
      <w:r>
        <w:br w:type="page"/>
      </w:r>
    </w:p>
    <w:p>
      <w:pPr>
        <w:pStyle w:val="Heading1"/>
        <w:keepNext/>
        <w:spacing w:after="140" w:before="280"/>
      </w:pPr>
      <w:r>
        <w:rPr>
          <w:rFonts w:ascii="Times New Roman" w:cs="Times New Roman" w:eastAsia="Times New Roman" w:hAnsi="Times New Roman"/>
          <w:b/>
          <w:bCs/>
          <w:caps/>
          <w:color w:val="1F3864"/>
          <w:sz w:val="28"/>
          <w:szCs w:val="28"/>
        </w:rPr>
        <w:t xml:space="preserve">Phần I. Nhận thức chung về công tác PCGD – XMC ở cấp phường</w:t>
      </w:r>
    </w:p>
    <w:p>
      <w:pPr>
        <w:spacing w:after="120" w:before="0" w:line="276"/>
        <w:jc w:val="both"/>
      </w:pPr>
      <w:r>
        <w:rPr>
          <w:rFonts w:ascii="Times New Roman" w:cs="Times New Roman" w:eastAsia="Times New Roman" w:hAnsi="Times New Roman"/>
          <w:sz w:val="24"/>
          <w:szCs w:val="24"/>
        </w:rPr>
        <w:t xml:space="preserve">Phổ cập giáo dục – xóa mù chữ (PCGD – XMC) là nhiệm vụ chính trị thường xuyên, gắn với trách nhiệm của cả hệ thống chính trị ở địa phương, do </w:t>
      </w:r>
      <w:r>
        <w:rPr>
          <w:rFonts w:ascii="Times New Roman" w:cs="Times New Roman" w:eastAsia="Times New Roman" w:hAnsi="Times New Roman"/>
          <w:b/>
          <w:bCs/>
          <w:sz w:val="24"/>
          <w:szCs w:val="24"/>
        </w:rPr>
        <w:t xml:space="preserve">Chủ tịch Ủy ban nhân dân phường</w:t>
      </w:r>
      <w:r>
        <w:rPr>
          <w:rFonts w:ascii="Times New Roman" w:cs="Times New Roman" w:eastAsia="Times New Roman" w:hAnsi="Times New Roman"/>
          <w:sz w:val="24"/>
          <w:szCs w:val="24"/>
        </w:rPr>
        <w:t xml:space="preserve"> trực tiếp chỉ đạo. Đây không phải công việc của riêng ngành giáo dục mà là công tác điều tra – thống kê – quản lý dân cư trong độ tuổi, đòi hỏi số liệu chính xác, hồ sơ đầy đủ và duy trì liên tục qua các năm.</w:t>
      </w:r>
    </w:p>
    <w:p>
      <w:pPr>
        <w:pStyle w:val="Heading2"/>
        <w:keepNext/>
        <w:spacing w:after="100" w:before="200"/>
      </w:pPr>
      <w:r>
        <w:rPr>
          <w:rFonts w:ascii="Times New Roman" w:cs="Times New Roman" w:eastAsia="Times New Roman" w:hAnsi="Times New Roman"/>
          <w:b/>
          <w:bCs/>
          <w:color w:val="2E5496"/>
          <w:sz w:val="25"/>
          <w:szCs w:val="25"/>
        </w:rPr>
        <w:t xml:space="preserve">1. Các nội dung phổ cập phải quản lý</w:t>
      </w:r>
    </w:p>
    <w:tbl>
      <w:tblPr>
        <w:tblW w:type="dxa" w:w="9350"/>
        <w:tblBorders>
          <w:top w:val="single" w:color="2E5496" w:sz="4"/>
          <w:left w:val="single" w:color="2E5496" w:sz="4"/>
          <w:bottom w:val="single" w:color="2E5496" w:sz="4"/>
          <w:right w:val="single" w:color="2E5496" w:sz="4"/>
          <w:insideH w:val="single" w:color="AEBEDC" w:sz="2"/>
          <w:insideV w:val="single" w:color="AEBEDC" w:sz="2"/>
        </w:tblBorders>
      </w:tblPr>
      <w:tblGrid>
        <w:gridCol w:w="3100"/>
        <w:gridCol w:w="3100"/>
        <w:gridCol w:w="3150"/>
      </w:tblGrid>
      <w:tr>
        <w:trPr>
          <w:tblHeader/>
        </w:trPr>
        <w:tc>
          <w:tcPr>
            <w:tcW w:type="dxa" w:w="31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Nội dung</w:t>
            </w:r>
          </w:p>
        </w:tc>
        <w:tc>
          <w:tcPr>
            <w:tcW w:type="dxa" w:w="31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Đối tượng theo dõi</w:t>
            </w:r>
          </w:p>
        </w:tc>
        <w:tc>
          <w:tcPr>
            <w:tcW w:type="dxa" w:w="315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Mức độ công nhận</w:t>
            </w:r>
          </w:p>
        </w:tc>
      </w:tr>
      <w:tr>
        <w:tc>
          <w:tcPr>
            <w:tcW w:type="dxa" w:w="31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PCGD Mầm non cho trẻ em 5 tuổi</w:t>
            </w:r>
          </w:p>
        </w:tc>
        <w:tc>
          <w:tcPr>
            <w:tcW w:type="dxa" w:w="31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Trẻ sinh cùng năm (tròn 5 tuổi)</w:t>
            </w:r>
          </w:p>
        </w:tc>
        <w:tc>
          <w:tcPr>
            <w:tcW w:type="dxa" w:w="315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Đạt / Chưa đạt</w:t>
            </w:r>
          </w:p>
        </w:tc>
      </w:tr>
      <w:tr>
        <w:tc>
          <w:tcPr>
            <w:tcW w:type="dxa" w:w="31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PCGD Tiểu học</w:t>
            </w:r>
          </w:p>
        </w:tc>
        <w:tc>
          <w:tcPr>
            <w:tcW w:type="dxa" w:w="31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Trẻ 6 tuổi vào lớp 1; trẻ 11–14 tuổi</w:t>
            </w:r>
          </w:p>
        </w:tc>
        <w:tc>
          <w:tcPr>
            <w:tcW w:type="dxa" w:w="315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Mức độ 1 – 2 – 3</w:t>
            </w:r>
          </w:p>
        </w:tc>
      </w:tr>
      <w:tr>
        <w:tc>
          <w:tcPr>
            <w:tcW w:type="dxa" w:w="31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PCGD Trung học cơ sở</w:t>
            </w:r>
          </w:p>
        </w:tc>
        <w:tc>
          <w:tcPr>
            <w:tcW w:type="dxa" w:w="31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Thanh thiếu niên 11–18 tuổi</w:t>
            </w:r>
          </w:p>
        </w:tc>
        <w:tc>
          <w:tcPr>
            <w:tcW w:type="dxa" w:w="315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Mức độ 1 – 2 – 3</w:t>
            </w:r>
          </w:p>
        </w:tc>
      </w:tr>
      <w:tr>
        <w:tc>
          <w:tcPr>
            <w:tcW w:type="dxa" w:w="31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Xóa mù chữ</w:t>
            </w:r>
          </w:p>
        </w:tc>
        <w:tc>
          <w:tcPr>
            <w:tcW w:type="dxa" w:w="31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Người dân 15–60 tuổi</w:t>
            </w:r>
          </w:p>
        </w:tc>
        <w:tc>
          <w:tcPr>
            <w:tcW w:type="dxa" w:w="315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Mức độ 1 – 2</w:t>
            </w:r>
          </w:p>
        </w:tc>
      </w:tr>
    </w:tbl>
    <w:p>
      <w:pPr>
        <w:spacing w:after="120" w:before="100" w:line="276"/>
      </w:pPr>
      <w:r>
        <w:rPr>
          <w:rFonts w:ascii="Times New Roman" w:cs="Times New Roman" w:eastAsia="Times New Roman" w:hAnsi="Times New Roman"/>
          <w:i/>
          <w:iCs/>
          <w:color w:val="595959"/>
          <w:sz w:val="22"/>
          <w:szCs w:val="22"/>
        </w:rPr>
        <w:t xml:space="preserve">Mỗi phường phải đạt và duy trì đủ 4 nội dung nêu trên. Kết quả năm sau phải bằng hoặc cao hơn năm trước; nếu tụt mức độ sẽ ảnh hưởng đến kết quả chung của Thành phố.</w:t>
      </w:r>
    </w:p>
    <w:p>
      <w:pPr>
        <w:pStyle w:val="Heading2"/>
        <w:keepNext/>
        <w:spacing w:after="100" w:before="200"/>
      </w:pPr>
      <w:r>
        <w:rPr>
          <w:rFonts w:ascii="Times New Roman" w:cs="Times New Roman" w:eastAsia="Times New Roman" w:hAnsi="Times New Roman"/>
          <w:b/>
          <w:bCs/>
          <w:color w:val="2E5496"/>
          <w:sz w:val="25"/>
          <w:szCs w:val="25"/>
        </w:rPr>
        <w:t xml:space="preserve">2. Quy trình công nhận theo mô hình chính quyền 2 cấp</w:t>
      </w:r>
    </w:p>
    <w:p>
      <w:pPr>
        <w:spacing w:after="120" w:before="0" w:line="276"/>
        <w:jc w:val="both"/>
      </w:pPr>
      <w:r>
        <w:rPr>
          <w:rFonts w:ascii="Times New Roman" w:cs="Times New Roman" w:eastAsia="Times New Roman" w:hAnsi="Times New Roman"/>
          <w:sz w:val="24"/>
          <w:szCs w:val="24"/>
        </w:rPr>
        <w:t xml:space="preserve">Từ năm 2025, khi tổ chức chính quyền địa phương 2 cấp (bỏ cấp huyện), phường tự kiểm tra và lập hồ sơ đề nghị </w:t>
      </w:r>
      <w:r>
        <w:rPr>
          <w:rFonts w:ascii="Times New Roman" w:cs="Times New Roman" w:eastAsia="Times New Roman" w:hAnsi="Times New Roman"/>
          <w:b/>
          <w:bCs/>
          <w:sz w:val="24"/>
          <w:szCs w:val="24"/>
        </w:rPr>
        <w:t xml:space="preserve">Thành phố (Sở GD&amp;ĐT tham mưu UBND Thành phố)</w:t>
      </w:r>
      <w:r>
        <w:rPr>
          <w:rFonts w:ascii="Times New Roman" w:cs="Times New Roman" w:eastAsia="Times New Roman" w:hAnsi="Times New Roman"/>
          <w:sz w:val="24"/>
          <w:szCs w:val="24"/>
        </w:rPr>
        <w:t xml:space="preserve"> kiểm tra, công nhận. Vì vậy hồ sơ cấp phường phải chuẩn hóa cao hơn trước để làm việc trực tiếp với đoàn kiểm tra Thành phố.</w:t>
      </w:r>
    </w:p>
    <w:p>
      <w:pPr>
        <w:spacing w:after="120" w:before="60" w:line="276"/>
        <w:jc w:val="both"/>
      </w:pPr>
      <w:r>
        <w:rPr>
          <w:rFonts w:ascii="Times New Roman" w:cs="Times New Roman" w:eastAsia="Times New Roman" w:hAnsi="Times New Roman"/>
          <w:b/>
          <w:bCs/>
          <w:color w:val="C79A2E"/>
          <w:sz w:val="24"/>
          <w:szCs w:val="24"/>
        </w:rPr>
        <w:t xml:space="preserve">Lưu ý tham mưu: </w:t>
      </w:r>
      <w:r>
        <w:rPr>
          <w:rFonts w:ascii="Times New Roman" w:cs="Times New Roman" w:eastAsia="Times New Roman" w:hAnsi="Times New Roman"/>
          <w:i/>
          <w:iCs/>
          <w:sz w:val="22"/>
          <w:szCs w:val="22"/>
        </w:rPr>
        <w:t xml:space="preserve">cần bám sát văn bản hướng dẫn mới nhất trong năm của Sở GD&amp;ĐT Thành phố Hồ Chí Minh về mốc thời gian, biểu mẫu và phần mềm, vì quy trình đang trong giai đoạn chuyển đổi theo mô hình chính quyền mới.</w:t>
      </w:r>
    </w:p>
    <w:p>
      <w:r>
        <w:br w:type="page"/>
      </w:r>
    </w:p>
    <w:p>
      <w:pPr>
        <w:pStyle w:val="Heading1"/>
        <w:keepNext/>
        <w:spacing w:after="140" w:before="280"/>
      </w:pPr>
      <w:r>
        <w:rPr>
          <w:rFonts w:ascii="Times New Roman" w:cs="Times New Roman" w:eastAsia="Times New Roman" w:hAnsi="Times New Roman"/>
          <w:b/>
          <w:bCs/>
          <w:caps/>
          <w:color w:val="1F3864"/>
          <w:sz w:val="28"/>
          <w:szCs w:val="28"/>
        </w:rPr>
        <w:t xml:space="preserve">Phần II. Thống kê đầu việc theo trình tự (việc trước – việc sau)</w:t>
      </w:r>
    </w:p>
    <w:p>
      <w:pPr>
        <w:spacing w:after="120" w:before="0" w:line="276"/>
        <w:jc w:val="both"/>
      </w:pPr>
      <w:r>
        <w:rPr>
          <w:rFonts w:ascii="Times New Roman" w:cs="Times New Roman" w:eastAsia="Times New Roman" w:hAnsi="Times New Roman"/>
          <w:sz w:val="24"/>
          <w:szCs w:val="24"/>
        </w:rPr>
        <w:t xml:space="preserve">Toàn bộ công tác PCGD – XMC trong năm được chia thành </w:t>
      </w:r>
      <w:r>
        <w:rPr>
          <w:rFonts w:ascii="Times New Roman" w:cs="Times New Roman" w:eastAsia="Times New Roman" w:hAnsi="Times New Roman"/>
          <w:b/>
          <w:bCs/>
          <w:sz w:val="24"/>
          <w:szCs w:val="24"/>
        </w:rPr>
        <w:t xml:space="preserve">5 giai đoạn nối tiếp</w:t>
      </w:r>
      <w:r>
        <w:rPr>
          <w:rFonts w:ascii="Times New Roman" w:cs="Times New Roman" w:eastAsia="Times New Roman" w:hAnsi="Times New Roman"/>
          <w:sz w:val="24"/>
          <w:szCs w:val="24"/>
        </w:rPr>
        <w:t xml:space="preserve">. Không được đảo thứ tự: chưa kiện toàn tổ chức thì chưa điều tra; chưa có số liệu điều tra sạch thì chưa nhập phần mềm; chưa khớp số liệu thì chưa lập hồ sơ đề nghị công nhận.</w:t>
      </w:r>
    </w:p>
    <w:p>
      <w:pPr>
        <w:pStyle w:val="Heading2"/>
        <w:keepNext/>
        <w:spacing w:after="100" w:before="200"/>
      </w:pPr>
      <w:r>
        <w:rPr>
          <w:rFonts w:ascii="Times New Roman" w:cs="Times New Roman" w:eastAsia="Times New Roman" w:hAnsi="Times New Roman"/>
          <w:b/>
          <w:bCs/>
          <w:color w:val="2E5496"/>
          <w:sz w:val="25"/>
          <w:szCs w:val="25"/>
        </w:rPr>
        <w:t xml:space="preserve">GIAI ĐOẠN 1 — Kiện toàn tổ chức, xây dựng kế hoạch</w:t>
      </w:r>
    </w:p>
    <w:tbl>
      <w:tblPr>
        <w:tblW w:type="dxa" w:w="9350"/>
        <w:tblBorders>
          <w:top w:val="single" w:color="2E5496" w:sz="4"/>
          <w:left w:val="single" w:color="2E5496" w:sz="4"/>
          <w:bottom w:val="single" w:color="2E5496" w:sz="4"/>
          <w:right w:val="single" w:color="2E5496" w:sz="4"/>
          <w:insideH w:val="single" w:color="AEBEDC" w:sz="2"/>
          <w:insideV w:val="single" w:color="AEBEDC" w:sz="2"/>
        </w:tblBorders>
      </w:tblPr>
      <w:tblGrid>
        <w:gridCol w:w="700"/>
        <w:gridCol w:w="5150"/>
        <w:gridCol w:w="3500"/>
      </w:tblGrid>
      <w:tr>
        <w:trPr>
          <w:tblHeader/>
        </w:trPr>
        <w:tc>
          <w:tcPr>
            <w:tcW w:type="dxa" w:w="7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TT</w:t>
            </w:r>
          </w:p>
        </w:tc>
        <w:tc>
          <w:tcPr>
            <w:tcW w:type="dxa" w:w="515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Đầu việc</w:t>
            </w:r>
          </w:p>
        </w:tc>
        <w:tc>
          <w:tcPr>
            <w:tcW w:type="dxa" w:w="35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Kết quả / sản phẩm</w:t>
            </w:r>
          </w:p>
        </w:tc>
      </w:tr>
      <w:tr>
        <w:tc>
          <w:tcPr>
            <w:tcW w:type="dxa" w:w="7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w:t>
            </w:r>
          </w:p>
        </w:tc>
        <w:tc>
          <w:tcPr>
            <w:tcW w:type="dxa" w:w="51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Tham mưu kiện toàn Ban chỉ đạo PCGD – XMC phường; phân công thành viên phụ trách địa bàn khu phố</w:t>
            </w:r>
          </w:p>
        </w:tc>
        <w:tc>
          <w:tcPr>
            <w:tcW w:type="dxa" w:w="35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Quyết định kiện toàn BCĐ + bảng phân công</w:t>
            </w:r>
          </w:p>
        </w:tc>
      </w:tr>
      <w:tr>
        <w:tc>
          <w:tcPr>
            <w:tcW w:type="dxa" w:w="7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2</w:t>
            </w:r>
          </w:p>
        </w:tc>
        <w:tc>
          <w:tcPr>
            <w:tcW w:type="dxa" w:w="51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Ban hành quy chế hoạt động, lịch làm việc của Ban chỉ đạo</w:t>
            </w:r>
          </w:p>
        </w:tc>
        <w:tc>
          <w:tcPr>
            <w:tcW w:type="dxa" w:w="35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Quy chế, lịch công tác</w:t>
            </w:r>
          </w:p>
        </w:tc>
      </w:tr>
      <w:tr>
        <w:tc>
          <w:tcPr>
            <w:tcW w:type="dxa" w:w="7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3</w:t>
            </w:r>
          </w:p>
        </w:tc>
        <w:tc>
          <w:tcPr>
            <w:tcW w:type="dxa" w:w="51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Xây dựng và ban hành Kế hoạch PCGD – XMC năm 2026 của phường</w:t>
            </w:r>
          </w:p>
        </w:tc>
        <w:tc>
          <w:tcPr>
            <w:tcW w:type="dxa" w:w="35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Kế hoạch năm (có chỉ tiêu, mốc thời gian)</w:t>
            </w:r>
          </w:p>
        </w:tc>
      </w:tr>
      <w:tr>
        <w:tc>
          <w:tcPr>
            <w:tcW w:type="dxa" w:w="7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4</w:t>
            </w:r>
          </w:p>
        </w:tc>
        <w:tc>
          <w:tcPr>
            <w:tcW w:type="dxa" w:w="51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Kiện toàn, tập huấn đội ngũ điều tra viên (giáo viên, cộng tác viên khu phố)</w:t>
            </w:r>
          </w:p>
        </w:tc>
        <w:tc>
          <w:tcPr>
            <w:tcW w:type="dxa" w:w="35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Danh sách điều tra viên; biên bản tập huấn</w:t>
            </w:r>
          </w:p>
        </w:tc>
      </w:tr>
      <w:tr>
        <w:tc>
          <w:tcPr>
            <w:tcW w:type="dxa" w:w="7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5</w:t>
            </w:r>
          </w:p>
        </w:tc>
        <w:tc>
          <w:tcPr>
            <w:tcW w:type="dxa" w:w="51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Chuẩn bị biểu mẫu, phiếu điều tra, phân chia địa bàn theo khu phố/tổ dân phố</w:t>
            </w:r>
          </w:p>
        </w:tc>
        <w:tc>
          <w:tcPr>
            <w:tcW w:type="dxa" w:w="35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Bộ phiếu, sơ đồ phân địa bàn</w:t>
            </w:r>
          </w:p>
        </w:tc>
      </w:tr>
    </w:tbl>
    <w:p>
      <w:pPr>
        <w:pStyle w:val="Heading2"/>
        <w:keepNext/>
        <w:spacing w:after="100" w:before="200"/>
      </w:pPr>
      <w:r>
        <w:rPr>
          <w:rFonts w:ascii="Times New Roman" w:cs="Times New Roman" w:eastAsia="Times New Roman" w:hAnsi="Times New Roman"/>
          <w:b/>
          <w:bCs/>
          <w:color w:val="2E5496"/>
          <w:sz w:val="25"/>
          <w:szCs w:val="25"/>
        </w:rPr>
        <w:t xml:space="preserve">GIAI ĐOẠN 2 — Điều tra, cập nhật số liệu</w:t>
      </w:r>
    </w:p>
    <w:tbl>
      <w:tblPr>
        <w:tblW w:type="dxa" w:w="9350"/>
        <w:tblBorders>
          <w:top w:val="single" w:color="2E5496" w:sz="4"/>
          <w:left w:val="single" w:color="2E5496" w:sz="4"/>
          <w:bottom w:val="single" w:color="2E5496" w:sz="4"/>
          <w:right w:val="single" w:color="2E5496" w:sz="4"/>
          <w:insideH w:val="single" w:color="AEBEDC" w:sz="2"/>
          <w:insideV w:val="single" w:color="AEBEDC" w:sz="2"/>
        </w:tblBorders>
      </w:tblPr>
      <w:tblGrid>
        <w:gridCol w:w="700"/>
        <w:gridCol w:w="5150"/>
        <w:gridCol w:w="3500"/>
      </w:tblGrid>
      <w:tr>
        <w:trPr>
          <w:tblHeader/>
        </w:trPr>
        <w:tc>
          <w:tcPr>
            <w:tcW w:type="dxa" w:w="7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TT</w:t>
            </w:r>
          </w:p>
        </w:tc>
        <w:tc>
          <w:tcPr>
            <w:tcW w:type="dxa" w:w="515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Đầu việc</w:t>
            </w:r>
          </w:p>
        </w:tc>
        <w:tc>
          <w:tcPr>
            <w:tcW w:type="dxa" w:w="35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Kết quả / sản phẩm</w:t>
            </w:r>
          </w:p>
        </w:tc>
      </w:tr>
      <w:tr>
        <w:tc>
          <w:tcPr>
            <w:tcW w:type="dxa" w:w="7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6</w:t>
            </w:r>
          </w:p>
        </w:tc>
        <w:tc>
          <w:tcPr>
            <w:tcW w:type="dxa" w:w="51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Điều tra hộ gia đình, cập nhật biến động (sinh, tử, chuyển đi, chuyển đến) trên phiếu điều tra</w:t>
            </w:r>
          </w:p>
        </w:tc>
        <w:tc>
          <w:tcPr>
            <w:tcW w:type="dxa" w:w="35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Phiếu điều tra đã cập nhật 100% hộ</w:t>
            </w:r>
          </w:p>
        </w:tc>
      </w:tr>
      <w:tr>
        <w:tc>
          <w:tcPr>
            <w:tcW w:type="dxa" w:w="7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7</w:t>
            </w:r>
          </w:p>
        </w:tc>
        <w:tc>
          <w:tcPr>
            <w:tcW w:type="dxa" w:w="51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Đối chiếu với dữ liệu dân cư, sổ hộ tịch, danh sách học sinh các trường trên địa bàn</w:t>
            </w:r>
          </w:p>
        </w:tc>
        <w:tc>
          <w:tcPr>
            <w:tcW w:type="dxa" w:w="35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Bảng đối chiếu, danh sách khớp</w:t>
            </w:r>
          </w:p>
        </w:tc>
      </w:tr>
      <w:tr>
        <w:tc>
          <w:tcPr>
            <w:tcW w:type="dxa" w:w="7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8</w:t>
            </w:r>
          </w:p>
        </w:tc>
        <w:tc>
          <w:tcPr>
            <w:tcW w:type="dxa" w:w="51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Thu thập danh sách trẻ hoàn thành GDMN, HS hoàn thành tiểu học, HS tốt nghiệp THCS, học viên biết chữ</w:t>
            </w:r>
          </w:p>
        </w:tc>
        <w:tc>
          <w:tcPr>
            <w:tcW w:type="dxa" w:w="35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Các danh sách theo mẫu</w:t>
            </w:r>
          </w:p>
        </w:tc>
      </w:tr>
      <w:tr>
        <w:tc>
          <w:tcPr>
            <w:tcW w:type="dxa" w:w="7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9</w:t>
            </w:r>
          </w:p>
        </w:tc>
        <w:tc>
          <w:tcPr>
            <w:tcW w:type="dxa" w:w="51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Rà soát đối tượng bỏ học, chưa ra lớp, chưa biết chữ; đề xuất biện pháp vận động</w:t>
            </w:r>
          </w:p>
        </w:tc>
        <w:tc>
          <w:tcPr>
            <w:tcW w:type="dxa" w:w="35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Danh sách đối tượng cần huy động</w:t>
            </w:r>
          </w:p>
        </w:tc>
      </w:tr>
    </w:tbl>
    <w:p>
      <w:pPr>
        <w:pStyle w:val="Heading2"/>
        <w:keepNext/>
        <w:spacing w:after="100" w:before="200"/>
      </w:pPr>
      <w:r>
        <w:rPr>
          <w:rFonts w:ascii="Times New Roman" w:cs="Times New Roman" w:eastAsia="Times New Roman" w:hAnsi="Times New Roman"/>
          <w:b/>
          <w:bCs/>
          <w:color w:val="2E5496"/>
          <w:sz w:val="25"/>
          <w:szCs w:val="25"/>
        </w:rPr>
        <w:t xml:space="preserve">GIAI ĐOẠN 3 — Nhập phần mềm, xử lý và khớp số liệu</w:t>
      </w:r>
    </w:p>
    <w:tbl>
      <w:tblPr>
        <w:tblW w:type="dxa" w:w="9350"/>
        <w:tblBorders>
          <w:top w:val="single" w:color="2E5496" w:sz="4"/>
          <w:left w:val="single" w:color="2E5496" w:sz="4"/>
          <w:bottom w:val="single" w:color="2E5496" w:sz="4"/>
          <w:right w:val="single" w:color="2E5496" w:sz="4"/>
          <w:insideH w:val="single" w:color="AEBEDC" w:sz="2"/>
          <w:insideV w:val="single" w:color="AEBEDC" w:sz="2"/>
        </w:tblBorders>
      </w:tblPr>
      <w:tblGrid>
        <w:gridCol w:w="700"/>
        <w:gridCol w:w="5150"/>
        <w:gridCol w:w="3500"/>
      </w:tblGrid>
      <w:tr>
        <w:trPr>
          <w:tblHeader/>
        </w:trPr>
        <w:tc>
          <w:tcPr>
            <w:tcW w:type="dxa" w:w="7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TT</w:t>
            </w:r>
          </w:p>
        </w:tc>
        <w:tc>
          <w:tcPr>
            <w:tcW w:type="dxa" w:w="515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Đầu việc</w:t>
            </w:r>
          </w:p>
        </w:tc>
        <w:tc>
          <w:tcPr>
            <w:tcW w:type="dxa" w:w="35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Kết quả / sản phẩm</w:t>
            </w:r>
          </w:p>
        </w:tc>
      </w:tr>
      <w:tr>
        <w:tc>
          <w:tcPr>
            <w:tcW w:type="dxa" w:w="7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10</w:t>
            </w:r>
          </w:p>
        </w:tc>
        <w:tc>
          <w:tcPr>
            <w:tcW w:type="dxa" w:w="51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Nhập, cập nhật dữ liệu vào Hệ thống thông tin quản lý PCGD – XMC của Bộ GD&amp;ĐT</w:t>
            </w:r>
          </w:p>
        </w:tc>
        <w:tc>
          <w:tcPr>
            <w:tcW w:type="dxa" w:w="35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Dữ liệu trên phần mềm đầy đủ, đúng hạn</w:t>
            </w:r>
          </w:p>
        </w:tc>
      </w:tr>
      <w:tr>
        <w:tc>
          <w:tcPr>
            <w:tcW w:type="dxa" w:w="7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11</w:t>
            </w:r>
          </w:p>
        </w:tc>
        <w:tc>
          <w:tcPr>
            <w:tcW w:type="dxa" w:w="51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Kết xuất biểu thống kê từ phần mềm, đối chiếu với phiếu điều tra và sổ theo dõi</w:t>
            </w:r>
          </w:p>
        </w:tc>
        <w:tc>
          <w:tcPr>
            <w:tcW w:type="dxa" w:w="35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Biểu thống kê khớp 3 nguồn (phiếu – sổ – phần mềm)</w:t>
            </w:r>
          </w:p>
        </w:tc>
      </w:tr>
      <w:tr>
        <w:tc>
          <w:tcPr>
            <w:tcW w:type="dxa" w:w="7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12</w:t>
            </w:r>
          </w:p>
        </w:tc>
        <w:tc>
          <w:tcPr>
            <w:tcW w:type="dxa" w:w="51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Xử lý sai lệch, trùng lặp, thiếu thông tin; hoàn thiện dữ liệu</w:t>
            </w:r>
          </w:p>
        </w:tc>
        <w:tc>
          <w:tcPr>
            <w:tcW w:type="dxa" w:w="35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Dữ liệu sạch, không mâu thuẫn</w:t>
            </w:r>
          </w:p>
        </w:tc>
      </w:tr>
      <w:tr>
        <w:tc>
          <w:tcPr>
            <w:tcW w:type="dxa" w:w="7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13</w:t>
            </w:r>
          </w:p>
        </w:tc>
        <w:tc>
          <w:tcPr>
            <w:tcW w:type="dxa" w:w="51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Tính các tỷ lệ theo tiêu chí từng nội dung, xác định mức độ dự kiến đạt</w:t>
            </w:r>
          </w:p>
        </w:tc>
        <w:tc>
          <w:tcPr>
            <w:tcW w:type="dxa" w:w="35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Bảng tính tỷ lệ, dự kiến mức độ</w:t>
            </w:r>
          </w:p>
        </w:tc>
      </w:tr>
    </w:tbl>
    <w:p>
      <w:pPr>
        <w:pStyle w:val="Heading2"/>
        <w:keepNext/>
        <w:spacing w:after="100" w:before="200"/>
      </w:pPr>
      <w:r>
        <w:rPr>
          <w:rFonts w:ascii="Times New Roman" w:cs="Times New Roman" w:eastAsia="Times New Roman" w:hAnsi="Times New Roman"/>
          <w:b/>
          <w:bCs/>
          <w:color w:val="2E5496"/>
          <w:sz w:val="25"/>
          <w:szCs w:val="25"/>
        </w:rPr>
        <w:t xml:space="preserve">GIAI ĐOẠN 4 — Lập hồ sơ, tự kiểm tra</w:t>
      </w:r>
    </w:p>
    <w:tbl>
      <w:tblPr>
        <w:tblW w:type="dxa" w:w="9350"/>
        <w:tblBorders>
          <w:top w:val="single" w:color="2E5496" w:sz="4"/>
          <w:left w:val="single" w:color="2E5496" w:sz="4"/>
          <w:bottom w:val="single" w:color="2E5496" w:sz="4"/>
          <w:right w:val="single" w:color="2E5496" w:sz="4"/>
          <w:insideH w:val="single" w:color="AEBEDC" w:sz="2"/>
          <w:insideV w:val="single" w:color="AEBEDC" w:sz="2"/>
        </w:tblBorders>
      </w:tblPr>
      <w:tblGrid>
        <w:gridCol w:w="700"/>
        <w:gridCol w:w="5150"/>
        <w:gridCol w:w="3500"/>
      </w:tblGrid>
      <w:tr>
        <w:trPr>
          <w:tblHeader/>
        </w:trPr>
        <w:tc>
          <w:tcPr>
            <w:tcW w:type="dxa" w:w="7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TT</w:t>
            </w:r>
          </w:p>
        </w:tc>
        <w:tc>
          <w:tcPr>
            <w:tcW w:type="dxa" w:w="515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Đầu việc</w:t>
            </w:r>
          </w:p>
        </w:tc>
        <w:tc>
          <w:tcPr>
            <w:tcW w:type="dxa" w:w="35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Kết quả / sản phẩm</w:t>
            </w:r>
          </w:p>
        </w:tc>
      </w:tr>
      <w:tr>
        <w:tc>
          <w:tcPr>
            <w:tcW w:type="dxa" w:w="7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14</w:t>
            </w:r>
          </w:p>
        </w:tc>
        <w:tc>
          <w:tcPr>
            <w:tcW w:type="dxa" w:w="51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Hoàn thiện hồ sơ phổ cập (phiếu, sổ, danh sách) và hồ sơ đề nghị công nhận</w:t>
            </w:r>
          </w:p>
        </w:tc>
        <w:tc>
          <w:tcPr>
            <w:tcW w:type="dxa" w:w="35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Bộ hồ sơ đầy đủ theo Thông tư 07/2016</w:t>
            </w:r>
          </w:p>
        </w:tc>
      </w:tr>
      <w:tr>
        <w:tc>
          <w:tcPr>
            <w:tcW w:type="dxa" w:w="7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15</w:t>
            </w:r>
          </w:p>
        </w:tc>
        <w:tc>
          <w:tcPr>
            <w:tcW w:type="dxa" w:w="51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Viết báo cáo quá trình thực hiện và kết quả kèm hệ thống biểu thống kê</w:t>
            </w:r>
          </w:p>
        </w:tc>
        <w:tc>
          <w:tcPr>
            <w:tcW w:type="dxa" w:w="35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Báo cáo + biểu thống kê</w:t>
            </w:r>
          </w:p>
        </w:tc>
      </w:tr>
      <w:tr>
        <w:tc>
          <w:tcPr>
            <w:tcW w:type="dxa" w:w="7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16</w:t>
            </w:r>
          </w:p>
        </w:tc>
        <w:tc>
          <w:tcPr>
            <w:tcW w:type="dxa" w:w="51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Ban chỉ đạo phường tổ chức tự kiểm tra, lập biên bản tự kiểm tra</w:t>
            </w:r>
          </w:p>
        </w:tc>
        <w:tc>
          <w:tcPr>
            <w:tcW w:type="dxa" w:w="35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Biên bản tự kiểm tra của phường</w:t>
            </w:r>
          </w:p>
        </w:tc>
      </w:tr>
      <w:tr>
        <w:tc>
          <w:tcPr>
            <w:tcW w:type="dxa" w:w="7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17</w:t>
            </w:r>
          </w:p>
        </w:tc>
        <w:tc>
          <w:tcPr>
            <w:tcW w:type="dxa" w:w="51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Đối chiếu kết quả với tiêu chuẩn; xác định mức độ đạt của từng nội dung</w:t>
            </w:r>
          </w:p>
        </w:tc>
        <w:tc>
          <w:tcPr>
            <w:tcW w:type="dxa" w:w="35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Bảng đánh giá mức độ đạt chuẩn</w:t>
            </w:r>
          </w:p>
        </w:tc>
      </w:tr>
    </w:tbl>
    <w:p>
      <w:pPr>
        <w:pStyle w:val="Heading2"/>
        <w:keepNext/>
        <w:spacing w:after="100" w:before="200"/>
      </w:pPr>
      <w:r>
        <w:rPr>
          <w:rFonts w:ascii="Times New Roman" w:cs="Times New Roman" w:eastAsia="Times New Roman" w:hAnsi="Times New Roman"/>
          <w:b/>
          <w:bCs/>
          <w:color w:val="2E5496"/>
          <w:sz w:val="25"/>
          <w:szCs w:val="25"/>
        </w:rPr>
        <w:t xml:space="preserve">GIAI ĐOẠN 5 — Đề nghị công nhận, lưu trữ, duy trì</w:t>
      </w:r>
    </w:p>
    <w:tbl>
      <w:tblPr>
        <w:tblW w:type="dxa" w:w="9350"/>
        <w:tblBorders>
          <w:top w:val="single" w:color="2E5496" w:sz="4"/>
          <w:left w:val="single" w:color="2E5496" w:sz="4"/>
          <w:bottom w:val="single" w:color="2E5496" w:sz="4"/>
          <w:right w:val="single" w:color="2E5496" w:sz="4"/>
          <w:insideH w:val="single" w:color="AEBEDC" w:sz="2"/>
          <w:insideV w:val="single" w:color="AEBEDC" w:sz="2"/>
        </w:tblBorders>
      </w:tblPr>
      <w:tblGrid>
        <w:gridCol w:w="700"/>
        <w:gridCol w:w="5150"/>
        <w:gridCol w:w="3500"/>
      </w:tblGrid>
      <w:tr>
        <w:trPr>
          <w:tblHeader/>
        </w:trPr>
        <w:tc>
          <w:tcPr>
            <w:tcW w:type="dxa" w:w="7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TT</w:t>
            </w:r>
          </w:p>
        </w:tc>
        <w:tc>
          <w:tcPr>
            <w:tcW w:type="dxa" w:w="515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Đầu việc</w:t>
            </w:r>
          </w:p>
        </w:tc>
        <w:tc>
          <w:tcPr>
            <w:tcW w:type="dxa" w:w="35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Kết quả / sản phẩm</w:t>
            </w:r>
          </w:p>
        </w:tc>
      </w:tr>
      <w:tr>
        <w:tc>
          <w:tcPr>
            <w:tcW w:type="dxa" w:w="7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18</w:t>
            </w:r>
          </w:p>
        </w:tc>
        <w:tc>
          <w:tcPr>
            <w:tcW w:type="dxa" w:w="51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Lập tờ trình đề nghị Thành phố (Sở GD&amp;ĐT) kiểm tra công nhận; nộp hồ sơ</w:t>
            </w:r>
          </w:p>
        </w:tc>
        <w:tc>
          <w:tcPr>
            <w:tcW w:type="dxa" w:w="35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Tờ trình + hồ sơ đề nghị</w:t>
            </w:r>
          </w:p>
        </w:tc>
      </w:tr>
      <w:tr>
        <w:tc>
          <w:tcPr>
            <w:tcW w:type="dxa" w:w="7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19</w:t>
            </w:r>
          </w:p>
        </w:tc>
        <w:tc>
          <w:tcPr>
            <w:tcW w:type="dxa" w:w="51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Chuẩn bị điều kiện, cử đầu mối làm việc, đón và phục vụ đoàn kiểm tra</w:t>
            </w:r>
          </w:p>
        </w:tc>
        <w:tc>
          <w:tcPr>
            <w:tcW w:type="dxa" w:w="35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Biên bản kiểm tra của đoàn Thành phố</w:t>
            </w:r>
          </w:p>
        </w:tc>
      </w:tr>
      <w:tr>
        <w:tc>
          <w:tcPr>
            <w:tcW w:type="dxa" w:w="7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20</w:t>
            </w:r>
          </w:p>
        </w:tc>
        <w:tc>
          <w:tcPr>
            <w:tcW w:type="dxa" w:w="51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Bổ sung, hoàn thiện hồ sơ theo kết luận đoàn kiểm tra</w:t>
            </w:r>
          </w:p>
        </w:tc>
        <w:tc>
          <w:tcPr>
            <w:tcW w:type="dxa" w:w="35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Hồ sơ hoàn chỉnh sau kiểm tra</w:t>
            </w:r>
          </w:p>
        </w:tc>
      </w:tr>
      <w:tr>
        <w:tc>
          <w:tcPr>
            <w:tcW w:type="dxa" w:w="7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21</w:t>
            </w:r>
          </w:p>
        </w:tc>
        <w:tc>
          <w:tcPr>
            <w:tcW w:type="dxa" w:w="51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Lưu trữ hồ sơ khoa học; tổng kết, rút kinh nghiệm, chuyển tiếp năm sau</w:t>
            </w:r>
          </w:p>
        </w:tc>
        <w:tc>
          <w:tcPr>
            <w:tcW w:type="dxa" w:w="35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Hồ sơ lưu; báo cáo tổng kết</w:t>
            </w:r>
          </w:p>
        </w:tc>
      </w:tr>
    </w:tbl>
    <w:p>
      <w:r>
        <w:br w:type="page"/>
      </w:r>
    </w:p>
    <w:p>
      <w:pPr>
        <w:pStyle w:val="Heading1"/>
        <w:keepNext/>
        <w:spacing w:after="140" w:before="280"/>
      </w:pPr>
      <w:r>
        <w:rPr>
          <w:rFonts w:ascii="Times New Roman" w:cs="Times New Roman" w:eastAsia="Times New Roman" w:hAnsi="Times New Roman"/>
          <w:b/>
          <w:bCs/>
          <w:caps/>
          <w:color w:val="1F3864"/>
          <w:sz w:val="28"/>
          <w:szCs w:val="28"/>
        </w:rPr>
        <w:t xml:space="preserve">Phần III. Lộ trình thời gian đề xuất (khung tham khảo)</w:t>
      </w:r>
    </w:p>
    <w:p>
      <w:pPr>
        <w:spacing w:after="120" w:before="0" w:line="276"/>
        <w:jc w:val="both"/>
      </w:pPr>
      <w:r>
        <w:rPr>
          <w:rFonts w:ascii="Times New Roman" w:cs="Times New Roman" w:eastAsia="Times New Roman" w:hAnsi="Times New Roman"/>
          <w:sz w:val="24"/>
          <w:szCs w:val="24"/>
        </w:rPr>
        <w:t xml:space="preserve">Khung thời gian dưới đây giúp lãnh đạo phường theo dõi tiến độ. Mốc cụ thể </w:t>
      </w:r>
      <w:r>
        <w:rPr>
          <w:rFonts w:ascii="Times New Roman" w:cs="Times New Roman" w:eastAsia="Times New Roman" w:hAnsi="Times New Roman"/>
          <w:b/>
          <w:bCs/>
          <w:sz w:val="24"/>
          <w:szCs w:val="24"/>
        </w:rPr>
        <w:t xml:space="preserve">phải điều chỉnh theo lịch chỉ đạo hằng năm của Sở GD&amp;ĐT Thành phố</w:t>
      </w:r>
      <w:r>
        <w:rPr>
          <w:rFonts w:ascii="Times New Roman" w:cs="Times New Roman" w:eastAsia="Times New Roman" w:hAnsi="Times New Roman"/>
          <w:sz w:val="24"/>
          <w:szCs w:val="24"/>
        </w:rPr>
        <w:t xml:space="preserve"> (thường chốt số liệu vào cuối tháng 9 hằng năm).</w:t>
      </w:r>
    </w:p>
    <w:tbl>
      <w:tblPr>
        <w:tblW w:type="dxa" w:w="9350"/>
        <w:tblBorders>
          <w:top w:val="single" w:color="2E5496" w:sz="4"/>
          <w:left w:val="single" w:color="2E5496" w:sz="4"/>
          <w:bottom w:val="single" w:color="2E5496" w:sz="4"/>
          <w:right w:val="single" w:color="2E5496" w:sz="4"/>
          <w:insideH w:val="single" w:color="AEBEDC" w:sz="2"/>
          <w:insideV w:val="single" w:color="AEBEDC" w:sz="2"/>
        </w:tblBorders>
      </w:tblPr>
      <w:tblGrid>
        <w:gridCol w:w="1750"/>
        <w:gridCol w:w="4300"/>
        <w:gridCol w:w="3300"/>
      </w:tblGrid>
      <w:tr>
        <w:trPr>
          <w:tblHeader/>
        </w:trPr>
        <w:tc>
          <w:tcPr>
            <w:tcW w:type="dxa" w:w="175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Thời gian</w:t>
            </w:r>
          </w:p>
        </w:tc>
        <w:tc>
          <w:tcPr>
            <w:tcW w:type="dxa" w:w="43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Trọng tâm công việc</w:t>
            </w:r>
          </w:p>
        </w:tc>
        <w:tc>
          <w:tcPr>
            <w:tcW w:type="dxa" w:w="33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Chủ trì / phối hợp</w:t>
            </w:r>
          </w:p>
        </w:tc>
      </w:tr>
      <w:tr>
        <w:tc>
          <w:tcPr>
            <w:tcW w:type="dxa" w:w="175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Tháng 01 – 3</w:t>
            </w:r>
          </w:p>
        </w:tc>
        <w:tc>
          <w:tcPr>
            <w:tcW w:type="dxa" w:w="43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Kiện toàn BCĐ, ban hành kế hoạch, tập huấn điều tra viên (Giai đoạn 1)</w:t>
            </w:r>
          </w:p>
        </w:tc>
        <w:tc>
          <w:tcPr>
            <w:tcW w:type="dxa" w:w="33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UBND phường / công chức VH-XH, các trường</w:t>
            </w:r>
          </w:p>
        </w:tc>
      </w:tr>
      <w:tr>
        <w:tc>
          <w:tcPr>
            <w:tcW w:type="dxa" w:w="175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Tháng 4 – 7</w:t>
            </w:r>
          </w:p>
        </w:tc>
        <w:tc>
          <w:tcPr>
            <w:tcW w:type="dxa" w:w="43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Điều tra, cập nhật phiếu, đối chiếu dữ liệu (Giai đoạn 2)</w:t>
            </w:r>
          </w:p>
        </w:tc>
        <w:tc>
          <w:tcPr>
            <w:tcW w:type="dxa" w:w="33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Điều tra viên, khu phố, các trường</w:t>
            </w:r>
          </w:p>
        </w:tc>
      </w:tr>
      <w:tr>
        <w:tc>
          <w:tcPr>
            <w:tcW w:type="dxa" w:w="175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Tháng 7 – 8</w:t>
            </w:r>
          </w:p>
        </w:tc>
        <w:tc>
          <w:tcPr>
            <w:tcW w:type="dxa" w:w="43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Nhập phần mềm, khớp và làm sạch số liệu (Giai đoạn 3)</w:t>
            </w:r>
          </w:p>
        </w:tc>
        <w:tc>
          <w:tcPr>
            <w:tcW w:type="dxa" w:w="33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Cán bộ chuyên trách phổ cập</w:t>
            </w:r>
          </w:p>
        </w:tc>
      </w:tr>
      <w:tr>
        <w:tc>
          <w:tcPr>
            <w:tcW w:type="dxa" w:w="175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Tháng 9</w:t>
            </w:r>
          </w:p>
        </w:tc>
        <w:tc>
          <w:tcPr>
            <w:tcW w:type="dxa" w:w="43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Lập hồ sơ, tự kiểm tra, chốt số liệu (Giai đoạn 4)</w:t>
            </w:r>
          </w:p>
        </w:tc>
        <w:tc>
          <w:tcPr>
            <w:tcW w:type="dxa" w:w="33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Ban chỉ đạo phường</w:t>
            </w:r>
          </w:p>
        </w:tc>
      </w:tr>
      <w:tr>
        <w:tc>
          <w:tcPr>
            <w:tcW w:type="dxa" w:w="175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Tháng 10 – 11</w:t>
            </w:r>
          </w:p>
        </w:tc>
        <w:tc>
          <w:tcPr>
            <w:tcW w:type="dxa" w:w="43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Đề nghị và đón đoàn kiểm tra Thành phố (Giai đoạn 5)</w:t>
            </w:r>
          </w:p>
        </w:tc>
        <w:tc>
          <w:tcPr>
            <w:tcW w:type="dxa" w:w="33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UBND phường / Sở GD&amp;ĐT</w:t>
            </w:r>
          </w:p>
        </w:tc>
      </w:tr>
      <w:tr>
        <w:tc>
          <w:tcPr>
            <w:tcW w:type="dxa" w:w="175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Tháng 12</w:t>
            </w:r>
          </w:p>
        </w:tc>
        <w:tc>
          <w:tcPr>
            <w:tcW w:type="dxa" w:w="43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Lưu trữ, tổng kết, rút kinh nghiệm</w:t>
            </w:r>
          </w:p>
        </w:tc>
        <w:tc>
          <w:tcPr>
            <w:tcW w:type="dxa" w:w="33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Ban chỉ đạo phường</w:t>
            </w:r>
          </w:p>
        </w:tc>
      </w:tr>
    </w:tbl>
    <w:p>
      <w:r>
        <w:br w:type="page"/>
      </w:r>
    </w:p>
    <w:p>
      <w:pPr>
        <w:pStyle w:val="Heading1"/>
        <w:keepNext/>
        <w:spacing w:after="140" w:before="280"/>
      </w:pPr>
      <w:r>
        <w:rPr>
          <w:rFonts w:ascii="Times New Roman" w:cs="Times New Roman" w:eastAsia="Times New Roman" w:hAnsi="Times New Roman"/>
          <w:b/>
          <w:bCs/>
          <w:caps/>
          <w:color w:val="1F3864"/>
          <w:sz w:val="28"/>
          <w:szCs w:val="28"/>
        </w:rPr>
        <w:t xml:space="preserve">Phần IV. Danh mục hồ sơ – sổ sách cần thiết</w:t>
      </w:r>
    </w:p>
    <w:p>
      <w:pPr>
        <w:spacing w:after="120" w:before="0" w:line="276"/>
        <w:jc w:val="both"/>
      </w:pPr>
      <w:r>
        <w:rPr>
          <w:rFonts w:ascii="Times New Roman" w:cs="Times New Roman" w:eastAsia="Times New Roman" w:hAnsi="Times New Roman"/>
          <w:sz w:val="24"/>
          <w:szCs w:val="24"/>
        </w:rPr>
        <w:t xml:space="preserve">Theo Thông tư 07/2016/TT-BGDĐT, hồ sơ PCGD – XMC gồm </w:t>
      </w:r>
      <w:r>
        <w:rPr>
          <w:rFonts w:ascii="Times New Roman" w:cs="Times New Roman" w:eastAsia="Times New Roman" w:hAnsi="Times New Roman"/>
          <w:b/>
          <w:bCs/>
          <w:sz w:val="24"/>
          <w:szCs w:val="24"/>
        </w:rPr>
        <w:t xml:space="preserve">hai nhóm</w:t>
      </w:r>
      <w:r>
        <w:rPr>
          <w:rFonts w:ascii="Times New Roman" w:cs="Times New Roman" w:eastAsia="Times New Roman" w:hAnsi="Times New Roman"/>
          <w:sz w:val="24"/>
          <w:szCs w:val="24"/>
        </w:rPr>
        <w:t xml:space="preserve">: (A) hồ sơ phổ cập và (B) hồ sơ đề nghị công nhận đạt chuẩn. Ngoài ra cần bổ sung nhóm (C) hồ sơ chỉ đạo – điều hành của phường.</w:t>
      </w:r>
    </w:p>
    <w:p>
      <w:pPr>
        <w:pStyle w:val="Heading2"/>
        <w:keepNext/>
        <w:spacing w:after="100" w:before="200"/>
      </w:pPr>
      <w:r>
        <w:rPr>
          <w:rFonts w:ascii="Times New Roman" w:cs="Times New Roman" w:eastAsia="Times New Roman" w:hAnsi="Times New Roman"/>
          <w:b/>
          <w:bCs/>
          <w:color w:val="2E5496"/>
          <w:sz w:val="25"/>
          <w:szCs w:val="25"/>
        </w:rPr>
        <w:t xml:space="preserve">A. Hồ sơ phổ cập giáo dục, xóa mù chữ (bắt buộc)</w:t>
      </w:r>
    </w:p>
    <w:tbl>
      <w:tblPr>
        <w:tblW w:type="dxa" w:w="9350"/>
        <w:tblBorders>
          <w:top w:val="single" w:color="2E5496" w:sz="4"/>
          <w:left w:val="single" w:color="2E5496" w:sz="4"/>
          <w:bottom w:val="single" w:color="2E5496" w:sz="4"/>
          <w:right w:val="single" w:color="2E5496" w:sz="4"/>
          <w:insideH w:val="single" w:color="AEBEDC" w:sz="2"/>
          <w:insideV w:val="single" w:color="AEBEDC" w:sz="2"/>
        </w:tblBorders>
      </w:tblPr>
      <w:tblGrid>
        <w:gridCol w:w="600"/>
        <w:gridCol w:w="5400"/>
        <w:gridCol w:w="3350"/>
      </w:tblGrid>
      <w:tr>
        <w:trPr>
          <w:tblHeader/>
        </w:trPr>
        <w:tc>
          <w:tcPr>
            <w:tcW w:type="dxa" w:w="6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TT</w:t>
            </w:r>
          </w:p>
        </w:tc>
        <w:tc>
          <w:tcPr>
            <w:tcW w:type="dxa" w:w="54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Loại hồ sơ / sổ sách</w:t>
            </w:r>
          </w:p>
        </w:tc>
        <w:tc>
          <w:tcPr>
            <w:tcW w:type="dxa" w:w="335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Ghi chú</w:t>
            </w:r>
          </w:p>
        </w:tc>
      </w:tr>
      <w:tr>
        <w:tc>
          <w:tcPr>
            <w:tcW w:type="dxa" w:w="6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w:t>
            </w:r>
          </w:p>
        </w:tc>
        <w:tc>
          <w:tcPr>
            <w:tcW w:type="dxa" w:w="54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Phiếu điều tra phổ cập giáo dục, xóa mù chữ (theo hộ gia đình)</w:t>
            </w:r>
          </w:p>
        </w:tc>
        <w:tc>
          <w:tcPr>
            <w:tcW w:type="dxa" w:w="33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Cập nhật hằng năm, lưu theo khu phố</w:t>
            </w:r>
          </w:p>
        </w:tc>
      </w:tr>
      <w:tr>
        <w:tc>
          <w:tcPr>
            <w:tcW w:type="dxa" w:w="6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2</w:t>
            </w:r>
          </w:p>
        </w:tc>
        <w:tc>
          <w:tcPr>
            <w:tcW w:type="dxa" w:w="54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Sổ theo dõi phổ cập giáo dục, xóa mù chữ</w:t>
            </w:r>
          </w:p>
        </w:tc>
        <w:tc>
          <w:tcPr>
            <w:tcW w:type="dxa" w:w="33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Theo dõi từng đối tượng trong độ tuổi</w:t>
            </w:r>
          </w:p>
        </w:tc>
      </w:tr>
      <w:tr>
        <w:tc>
          <w:tcPr>
            <w:tcW w:type="dxa" w:w="6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3</w:t>
            </w:r>
          </w:p>
        </w:tc>
        <w:tc>
          <w:tcPr>
            <w:tcW w:type="dxa" w:w="54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Danh sách trẻ em hoàn thành chương trình GDMN (trẻ 5 tuổi)</w:t>
            </w:r>
          </w:p>
        </w:tc>
        <w:tc>
          <w:tcPr>
            <w:tcW w:type="dxa" w:w="33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Phục vụ PCGD mầm non 5 tuổi</w:t>
            </w:r>
          </w:p>
        </w:tc>
      </w:tr>
      <w:tr>
        <w:tc>
          <w:tcPr>
            <w:tcW w:type="dxa" w:w="6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4</w:t>
            </w:r>
          </w:p>
        </w:tc>
        <w:tc>
          <w:tcPr>
            <w:tcW w:type="dxa" w:w="54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Danh sách học sinh hoàn thành chương trình tiểu học</w:t>
            </w:r>
          </w:p>
        </w:tc>
        <w:tc>
          <w:tcPr>
            <w:tcW w:type="dxa" w:w="33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Phục vụ PCGD tiểu học</w:t>
            </w:r>
          </w:p>
        </w:tc>
      </w:tr>
      <w:tr>
        <w:tc>
          <w:tcPr>
            <w:tcW w:type="dxa" w:w="6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5</w:t>
            </w:r>
          </w:p>
        </w:tc>
        <w:tc>
          <w:tcPr>
            <w:tcW w:type="dxa" w:w="54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Danh sách học sinh tốt nghiệp trung học cơ sở</w:t>
            </w:r>
          </w:p>
        </w:tc>
        <w:tc>
          <w:tcPr>
            <w:tcW w:type="dxa" w:w="33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Phục vụ PCGD THCS</w:t>
            </w:r>
          </w:p>
        </w:tc>
      </w:tr>
      <w:tr>
        <w:tc>
          <w:tcPr>
            <w:tcW w:type="dxa" w:w="6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6</w:t>
            </w:r>
          </w:p>
        </w:tc>
        <w:tc>
          <w:tcPr>
            <w:tcW w:type="dxa" w:w="54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Danh sách học viên được công nhận biết chữ theo mức độ 1, 2</w:t>
            </w:r>
          </w:p>
        </w:tc>
        <w:tc>
          <w:tcPr>
            <w:tcW w:type="dxa" w:w="33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Phục vụ xóa mù chữ</w:t>
            </w:r>
          </w:p>
        </w:tc>
      </w:tr>
    </w:tbl>
    <w:p>
      <w:pPr>
        <w:pStyle w:val="Heading2"/>
        <w:keepNext/>
        <w:spacing w:after="100" w:before="200"/>
      </w:pPr>
      <w:r>
        <w:rPr>
          <w:rFonts w:ascii="Times New Roman" w:cs="Times New Roman" w:eastAsia="Times New Roman" w:hAnsi="Times New Roman"/>
          <w:b/>
          <w:bCs/>
          <w:color w:val="2E5496"/>
          <w:sz w:val="25"/>
          <w:szCs w:val="25"/>
        </w:rPr>
        <w:t xml:space="preserve">B. Hồ sơ đề nghị công nhận đạt chuẩn</w:t>
      </w:r>
    </w:p>
    <w:tbl>
      <w:tblPr>
        <w:tblW w:type="dxa" w:w="9350"/>
        <w:tblBorders>
          <w:top w:val="single" w:color="2E5496" w:sz="4"/>
          <w:left w:val="single" w:color="2E5496" w:sz="4"/>
          <w:bottom w:val="single" w:color="2E5496" w:sz="4"/>
          <w:right w:val="single" w:color="2E5496" w:sz="4"/>
          <w:insideH w:val="single" w:color="AEBEDC" w:sz="2"/>
          <w:insideV w:val="single" w:color="AEBEDC" w:sz="2"/>
        </w:tblBorders>
      </w:tblPr>
      <w:tblGrid>
        <w:gridCol w:w="600"/>
        <w:gridCol w:w="5400"/>
        <w:gridCol w:w="3350"/>
      </w:tblGrid>
      <w:tr>
        <w:trPr>
          <w:tblHeader/>
        </w:trPr>
        <w:tc>
          <w:tcPr>
            <w:tcW w:type="dxa" w:w="6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TT</w:t>
            </w:r>
          </w:p>
        </w:tc>
        <w:tc>
          <w:tcPr>
            <w:tcW w:type="dxa" w:w="54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Loại hồ sơ</w:t>
            </w:r>
          </w:p>
        </w:tc>
        <w:tc>
          <w:tcPr>
            <w:tcW w:type="dxa" w:w="335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Ghi chú</w:t>
            </w:r>
          </w:p>
        </w:tc>
      </w:tr>
      <w:tr>
        <w:tc>
          <w:tcPr>
            <w:tcW w:type="dxa" w:w="6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7</w:t>
            </w:r>
          </w:p>
        </w:tc>
        <w:tc>
          <w:tcPr>
            <w:tcW w:type="dxa" w:w="54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Báo cáo quá trình thực hiện và kết quả PCGD – XMC kèm các biểu thống kê</w:t>
            </w:r>
          </w:p>
        </w:tc>
        <w:tc>
          <w:tcPr>
            <w:tcW w:type="dxa" w:w="33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Có số liệu năm nay và so sánh năm trước</w:t>
            </w:r>
          </w:p>
        </w:tc>
      </w:tr>
      <w:tr>
        <w:tc>
          <w:tcPr>
            <w:tcW w:type="dxa" w:w="6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8</w:t>
            </w:r>
          </w:p>
        </w:tc>
        <w:tc>
          <w:tcPr>
            <w:tcW w:type="dxa" w:w="54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Hệ thống biểu thống kê theo từng nội dung (mầm non, tiểu học, THCS, XMC)</w:t>
            </w:r>
          </w:p>
        </w:tc>
        <w:tc>
          <w:tcPr>
            <w:tcW w:type="dxa" w:w="33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Kết xuất từ phần mềm, đã đối chiếu</w:t>
            </w:r>
          </w:p>
        </w:tc>
      </w:tr>
      <w:tr>
        <w:tc>
          <w:tcPr>
            <w:tcW w:type="dxa" w:w="6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9</w:t>
            </w:r>
          </w:p>
        </w:tc>
        <w:tc>
          <w:tcPr>
            <w:tcW w:type="dxa" w:w="54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Biên bản tự kiểm tra PCGD – XMC của phường</w:t>
            </w:r>
          </w:p>
        </w:tc>
        <w:tc>
          <w:tcPr>
            <w:tcW w:type="dxa" w:w="33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Do Ban chỉ đạo phường lập</w:t>
            </w:r>
          </w:p>
        </w:tc>
      </w:tr>
      <w:tr>
        <w:tc>
          <w:tcPr>
            <w:tcW w:type="dxa" w:w="6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10</w:t>
            </w:r>
          </w:p>
        </w:tc>
        <w:tc>
          <w:tcPr>
            <w:tcW w:type="dxa" w:w="54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Tờ trình đề nghị kiểm tra, công nhận đạt chuẩn</w:t>
            </w:r>
          </w:p>
        </w:tc>
        <w:tc>
          <w:tcPr>
            <w:tcW w:type="dxa" w:w="33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Gửi cấp có thẩm quyền (Thành phố)</w:t>
            </w:r>
          </w:p>
        </w:tc>
      </w:tr>
    </w:tbl>
    <w:p>
      <w:pPr>
        <w:pStyle w:val="Heading2"/>
        <w:keepNext/>
        <w:spacing w:after="100" w:before="200"/>
      </w:pPr>
      <w:r>
        <w:rPr>
          <w:rFonts w:ascii="Times New Roman" w:cs="Times New Roman" w:eastAsia="Times New Roman" w:hAnsi="Times New Roman"/>
          <w:b/>
          <w:bCs/>
          <w:color w:val="2E5496"/>
          <w:sz w:val="25"/>
          <w:szCs w:val="25"/>
        </w:rPr>
        <w:t xml:space="preserve">C. Hồ sơ chỉ đạo – điều hành của phường (bổ trợ)</w:t>
      </w:r>
    </w:p>
    <w:tbl>
      <w:tblPr>
        <w:tblW w:type="dxa" w:w="9350"/>
        <w:tblBorders>
          <w:top w:val="single" w:color="2E5496" w:sz="4"/>
          <w:left w:val="single" w:color="2E5496" w:sz="4"/>
          <w:bottom w:val="single" w:color="2E5496" w:sz="4"/>
          <w:right w:val="single" w:color="2E5496" w:sz="4"/>
          <w:insideH w:val="single" w:color="AEBEDC" w:sz="2"/>
          <w:insideV w:val="single" w:color="AEBEDC" w:sz="2"/>
        </w:tblBorders>
      </w:tblPr>
      <w:tblGrid>
        <w:gridCol w:w="600"/>
        <w:gridCol w:w="5400"/>
        <w:gridCol w:w="3350"/>
      </w:tblGrid>
      <w:tr>
        <w:trPr>
          <w:tblHeader/>
        </w:trPr>
        <w:tc>
          <w:tcPr>
            <w:tcW w:type="dxa" w:w="6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TT</w:t>
            </w:r>
          </w:p>
        </w:tc>
        <w:tc>
          <w:tcPr>
            <w:tcW w:type="dxa" w:w="54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Loại hồ sơ</w:t>
            </w:r>
          </w:p>
        </w:tc>
        <w:tc>
          <w:tcPr>
            <w:tcW w:type="dxa" w:w="335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Ghi chú</w:t>
            </w:r>
          </w:p>
        </w:tc>
      </w:tr>
      <w:tr>
        <w:tc>
          <w:tcPr>
            <w:tcW w:type="dxa" w:w="6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11</w:t>
            </w:r>
          </w:p>
        </w:tc>
        <w:tc>
          <w:tcPr>
            <w:tcW w:type="dxa" w:w="54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Quyết định kiện toàn Ban chỉ đạo và bảng phân công nhiệm vụ</w:t>
            </w:r>
          </w:p>
        </w:tc>
        <w:tc>
          <w:tcPr>
            <w:tcW w:type="dxa" w:w="33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Cập nhật khi có thay đổi nhân sự</w:t>
            </w:r>
          </w:p>
        </w:tc>
      </w:tr>
      <w:tr>
        <w:tc>
          <w:tcPr>
            <w:tcW w:type="dxa" w:w="6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12</w:t>
            </w:r>
          </w:p>
        </w:tc>
        <w:tc>
          <w:tcPr>
            <w:tcW w:type="dxa" w:w="54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Kế hoạch PCGD – XMC năm; quy chế, lịch hoạt động của BCĐ</w:t>
            </w:r>
          </w:p>
        </w:tc>
        <w:tc>
          <w:tcPr>
            <w:tcW w:type="dxa" w:w="33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Ban hành đầu năm</w:t>
            </w:r>
          </w:p>
        </w:tc>
      </w:tr>
      <w:tr>
        <w:tc>
          <w:tcPr>
            <w:tcW w:type="dxa" w:w="6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13</w:t>
            </w:r>
          </w:p>
        </w:tc>
        <w:tc>
          <w:tcPr>
            <w:tcW w:type="dxa" w:w="54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Hồ sơ tập huấn điều tra viên; danh sách điều tra viên, phân địa bàn</w:t>
            </w:r>
          </w:p>
        </w:tc>
        <w:tc>
          <w:tcPr>
            <w:tcW w:type="dxa" w:w="33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Lưu kèm biên bản tập huấn</w:t>
            </w:r>
          </w:p>
        </w:tc>
      </w:tr>
      <w:tr>
        <w:tc>
          <w:tcPr>
            <w:tcW w:type="dxa" w:w="6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14</w:t>
            </w:r>
          </w:p>
        </w:tc>
        <w:tc>
          <w:tcPr>
            <w:tcW w:type="dxa" w:w="54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Các văn bản chỉ đạo, hướng dẫn của cấp trên đã tiếp nhận</w:t>
            </w:r>
          </w:p>
        </w:tc>
        <w:tc>
          <w:tcPr>
            <w:tcW w:type="dxa" w:w="33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Lưu theo hệ thống</w:t>
            </w:r>
          </w:p>
        </w:tc>
      </w:tr>
      <w:tr>
        <w:tc>
          <w:tcPr>
            <w:tcW w:type="dxa" w:w="600"/>
            <w:shd w:fill="FFFFFF"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15</w:t>
            </w:r>
          </w:p>
        </w:tc>
        <w:tc>
          <w:tcPr>
            <w:tcW w:type="dxa" w:w="54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Sổ nghị quyết / biên bản họp Ban chỉ đạo; báo cáo định kỳ, đột xuất</w:t>
            </w:r>
          </w:p>
        </w:tc>
        <w:tc>
          <w:tcPr>
            <w:tcW w:type="dxa" w:w="33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Minh chứng quá trình chỉ đạo</w:t>
            </w:r>
          </w:p>
        </w:tc>
      </w:tr>
      <w:tr>
        <w:tc>
          <w:tcPr>
            <w:tcW w:type="dxa" w:w="600"/>
            <w:shd w:fill="EDF1F8"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sz w:val="22"/>
                <w:szCs w:val="22"/>
              </w:rPr>
              <w:t xml:space="preserve">16</w:t>
            </w:r>
          </w:p>
        </w:tc>
        <w:tc>
          <w:tcPr>
            <w:tcW w:type="dxa" w:w="54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Hồ sơ, bản đồ / sơ đồ địa bàn dân cư theo khu phố</w:t>
            </w:r>
          </w:p>
        </w:tc>
        <w:tc>
          <w:tcPr>
            <w:tcW w:type="dxa" w:w="33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Hỗ trợ điều tra, quản lý đối tượng</w:t>
            </w:r>
          </w:p>
        </w:tc>
      </w:tr>
    </w:tbl>
    <w:p>
      <w:pPr>
        <w:spacing w:after="120" w:before="100" w:line="276"/>
        <w:jc w:val="both"/>
      </w:pPr>
      <w:r>
        <w:rPr>
          <w:rFonts w:ascii="Times New Roman" w:cs="Times New Roman" w:eastAsia="Times New Roman" w:hAnsi="Times New Roman"/>
          <w:b/>
          <w:bCs/>
          <w:color w:val="C79A2E"/>
          <w:sz w:val="24"/>
          <w:szCs w:val="24"/>
        </w:rPr>
        <w:t xml:space="preserve">Nguyên tắc lưu trữ: </w:t>
      </w:r>
      <w:r>
        <w:rPr>
          <w:rFonts w:ascii="Times New Roman" w:cs="Times New Roman" w:eastAsia="Times New Roman" w:hAnsi="Times New Roman"/>
          <w:i/>
          <w:iCs/>
          <w:sz w:val="22"/>
          <w:szCs w:val="22"/>
        </w:rPr>
        <w:t xml:space="preserve">mỗi nội dung phổ cập lập một cặp hồ sơ riêng; sắp xếp theo khu phố – theo năm; có mục lục và bìa; lưu tối thiểu theo quy định để phục vụ đối chiếu, hậu kiểm nhiều năm.</w:t>
      </w:r>
    </w:p>
    <w:p>
      <w:r>
        <w:br w:type="page"/>
      </w:r>
    </w:p>
    <w:p>
      <w:pPr>
        <w:pStyle w:val="Heading1"/>
        <w:keepNext/>
        <w:spacing w:after="140" w:before="280"/>
      </w:pPr>
      <w:r>
        <w:rPr>
          <w:rFonts w:ascii="Times New Roman" w:cs="Times New Roman" w:eastAsia="Times New Roman" w:hAnsi="Times New Roman"/>
          <w:b/>
          <w:bCs/>
          <w:caps/>
          <w:color w:val="1F3864"/>
          <w:sz w:val="28"/>
          <w:szCs w:val="28"/>
        </w:rPr>
        <w:t xml:space="preserve">Phần V. Khung tiêu chí đạt chuẩn (tóm tắt định hướng)</w:t>
      </w:r>
    </w:p>
    <w:p>
      <w:pPr>
        <w:spacing w:after="120" w:before="0" w:line="276"/>
        <w:jc w:val="both"/>
      </w:pPr>
      <w:r>
        <w:rPr>
          <w:rFonts w:ascii="Times New Roman" w:cs="Times New Roman" w:eastAsia="Times New Roman" w:hAnsi="Times New Roman"/>
          <w:sz w:val="24"/>
          <w:szCs w:val="24"/>
        </w:rPr>
        <w:t xml:space="preserve">Bảng dưới tóm tắt định hướng tiêu chí để phường tự đối chiếu. </w:t>
      </w:r>
      <w:r>
        <w:rPr>
          <w:rFonts w:ascii="Times New Roman" w:cs="Times New Roman" w:eastAsia="Times New Roman" w:hAnsi="Times New Roman"/>
          <w:b/>
          <w:bCs/>
          <w:sz w:val="24"/>
          <w:szCs w:val="24"/>
        </w:rPr>
        <w:t xml:space="preserve">Chỉ số phần trăm cụ thể phải tra cứu trực tiếp Nghị định 20/2014/NĐ-CP</w:t>
      </w:r>
      <w:r>
        <w:rPr>
          <w:rFonts w:ascii="Times New Roman" w:cs="Times New Roman" w:eastAsia="Times New Roman" w:hAnsi="Times New Roman"/>
          <w:sz w:val="24"/>
          <w:szCs w:val="24"/>
        </w:rPr>
        <w:t xml:space="preserve"> và văn bản hướng dẫn hiện hành, vì có phân biệt theo vùng và có thể được điều chỉnh.</w:t>
      </w:r>
    </w:p>
    <w:tbl>
      <w:tblPr>
        <w:tblW w:type="dxa" w:w="9350"/>
        <w:tblBorders>
          <w:top w:val="single" w:color="2E5496" w:sz="4"/>
          <w:left w:val="single" w:color="2E5496" w:sz="4"/>
          <w:bottom w:val="single" w:color="2E5496" w:sz="4"/>
          <w:right w:val="single" w:color="2E5496" w:sz="4"/>
          <w:insideH w:val="single" w:color="AEBEDC" w:sz="2"/>
          <w:insideV w:val="single" w:color="AEBEDC" w:sz="2"/>
        </w:tblBorders>
      </w:tblPr>
      <w:tblGrid>
        <w:gridCol w:w="2500"/>
        <w:gridCol w:w="6850"/>
      </w:tblGrid>
      <w:tr>
        <w:trPr>
          <w:tblHeader/>
        </w:trPr>
        <w:tc>
          <w:tcPr>
            <w:tcW w:type="dxa" w:w="250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Nội dung</w:t>
            </w:r>
          </w:p>
        </w:tc>
        <w:tc>
          <w:tcPr>
            <w:tcW w:type="dxa" w:w="6850"/>
            <w:shd w:fill="1F3864"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color w:val="FFFFFF"/>
                <w:sz w:val="22"/>
                <w:szCs w:val="22"/>
              </w:rPr>
              <w:t xml:space="preserve">Nhóm tiêu chí cốt lõi cần bảo đảm</w:t>
            </w:r>
          </w:p>
        </w:tc>
      </w:tr>
      <w:tr>
        <w:tc>
          <w:tcPr>
            <w:tcW w:type="dxa" w:w="25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PCGD Mầm non trẻ 5 tuổi</w:t>
            </w:r>
          </w:p>
        </w:tc>
        <w:tc>
          <w:tcPr>
            <w:tcW w:type="dxa" w:w="68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Tỷ lệ huy động trẻ 5 tuổi ra lớp; tỷ lệ trẻ hoàn thành chương trình GDMN; điều kiện giáo viên, cơ sở vật chất.</w:t>
            </w:r>
          </w:p>
        </w:tc>
      </w:tr>
      <w:tr>
        <w:tc>
          <w:tcPr>
            <w:tcW w:type="dxa" w:w="25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PCGD Tiểu học (MĐ 1–3)</w:t>
            </w:r>
          </w:p>
        </w:tc>
        <w:tc>
          <w:tcPr>
            <w:tcW w:type="dxa" w:w="68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Tỷ lệ huy động trẻ 6 tuổi vào lớp 1; tỷ lệ trẻ 11–14 tuổi hoàn thành chương trình tiểu học; tỷ lệ duy trì, chuyên cần.</w:t>
            </w:r>
          </w:p>
        </w:tc>
      </w:tr>
      <w:tr>
        <w:tc>
          <w:tcPr>
            <w:tcW w:type="dxa" w:w="250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PCGD THCS (MĐ 1–3)</w:t>
            </w:r>
          </w:p>
        </w:tc>
        <w:tc>
          <w:tcPr>
            <w:tcW w:type="dxa" w:w="6850"/>
            <w:shd w:fill="FFFFFF"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Tỷ lệ tốt nghiệp THCS; tỷ lệ thanh thiếu niên trong độ tuổi có bằng THCS; tỷ lệ đi học đúng độ tuổi.</w:t>
            </w:r>
          </w:p>
        </w:tc>
      </w:tr>
      <w:tr>
        <w:tc>
          <w:tcPr>
            <w:tcW w:type="dxa" w:w="250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Xóa mù chữ (MĐ 1–2)</w:t>
            </w:r>
          </w:p>
        </w:tc>
        <w:tc>
          <w:tcPr>
            <w:tcW w:type="dxa" w:w="6850"/>
            <w:shd w:fill="EDF1F8" w:val="clear"/>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Tỷ lệ người trong độ tuổi biết chữ mức độ 1 và mức độ 2; kết quả vận động, mở lớp XMC.</w:t>
            </w:r>
          </w:p>
        </w:tc>
      </w:tr>
    </w:tbl>
    <w:p>
      <w:pPr>
        <w:pStyle w:val="Heading1"/>
        <w:keepNext/>
        <w:spacing w:after="140" w:before="280"/>
      </w:pPr>
      <w:r>
        <w:rPr>
          <w:rFonts w:ascii="Times New Roman" w:cs="Times New Roman" w:eastAsia="Times New Roman" w:hAnsi="Times New Roman"/>
          <w:b/>
          <w:bCs/>
          <w:caps/>
          <w:color w:val="1F3864"/>
          <w:sz w:val="28"/>
          <w:szCs w:val="28"/>
        </w:rPr>
        <w:t xml:space="preserve">Phần VI. Kiến nghị tham mưu với lãnh đạo phường</w:t>
      </w:r>
    </w:p>
    <w:p>
      <w:pPr>
        <w:pStyle w:val="ListParagraph"/>
        <w:numPr>
          <w:ilvl w:val="0"/>
          <w:numId w:val="2"/>
        </w:numPr>
        <w:spacing w:after="80" w:line="276"/>
      </w:pPr>
      <w:r>
        <w:rPr>
          <w:rFonts w:ascii="Times New Roman" w:cs="Times New Roman" w:eastAsia="Times New Roman" w:hAnsi="Times New Roman"/>
          <w:b/>
          <w:bCs/>
          <w:sz w:val="24"/>
          <w:szCs w:val="24"/>
        </w:rPr>
        <w:t xml:space="preserve">Coi PCGD – XMC là nhiệm vụ thường xuyên</w:t>
      </w:r>
      <w:r>
        <w:rPr>
          <w:rFonts w:ascii="Times New Roman" w:cs="Times New Roman" w:eastAsia="Times New Roman" w:hAnsi="Times New Roman"/>
          <w:sz w:val="24"/>
          <w:szCs w:val="24"/>
        </w:rPr>
        <w:t xml:space="preserve">, đưa vào chương trình công tác năm của UBND phường và giao chỉ tiêu cụ thể tới từng khu phố.</w:t>
      </w:r>
    </w:p>
    <w:p>
      <w:pPr>
        <w:pStyle w:val="ListParagraph"/>
        <w:numPr>
          <w:ilvl w:val="0"/>
          <w:numId w:val="2"/>
        </w:numPr>
        <w:spacing w:after="80" w:line="276"/>
      </w:pPr>
      <w:r>
        <w:rPr>
          <w:rFonts w:ascii="Times New Roman" w:cs="Times New Roman" w:eastAsia="Times New Roman" w:hAnsi="Times New Roman"/>
          <w:b/>
          <w:bCs/>
          <w:sz w:val="24"/>
          <w:szCs w:val="24"/>
        </w:rPr>
        <w:t xml:space="preserve">Kiện toàn sớm Ban chỉ đạo</w:t>
      </w:r>
      <w:r>
        <w:rPr>
          <w:rFonts w:ascii="Times New Roman" w:cs="Times New Roman" w:eastAsia="Times New Roman" w:hAnsi="Times New Roman"/>
          <w:sz w:val="24"/>
          <w:szCs w:val="24"/>
        </w:rPr>
        <w:t xml:space="preserve"> ngay từ đầu năm; phân công rõ người, rõ việc, rõ địa bàn và rõ thời hạn.</w:t>
      </w:r>
    </w:p>
    <w:p>
      <w:pPr>
        <w:pStyle w:val="ListParagraph"/>
        <w:numPr>
          <w:ilvl w:val="0"/>
          <w:numId w:val="2"/>
        </w:numPr>
        <w:spacing w:after="80" w:line="276"/>
      </w:pPr>
      <w:r>
        <w:rPr>
          <w:rFonts w:ascii="Times New Roman" w:cs="Times New Roman" w:eastAsia="Times New Roman" w:hAnsi="Times New Roman"/>
          <w:b/>
          <w:bCs/>
          <w:sz w:val="24"/>
          <w:szCs w:val="24"/>
        </w:rPr>
        <w:t xml:space="preserve">Bố trí cán bộ chuyên trách ổn định</w:t>
      </w:r>
      <w:r>
        <w:rPr>
          <w:rFonts w:ascii="Times New Roman" w:cs="Times New Roman" w:eastAsia="Times New Roman" w:hAnsi="Times New Roman"/>
          <w:sz w:val="24"/>
          <w:szCs w:val="24"/>
        </w:rPr>
        <w:t xml:space="preserve"> theo dõi phần mềm và hồ sơ để bảo đảm tính liên tục qua các năm, tránh gián đoạn khi thay đổi nhân sự.</w:t>
      </w:r>
    </w:p>
    <w:p>
      <w:pPr>
        <w:pStyle w:val="ListParagraph"/>
        <w:numPr>
          <w:ilvl w:val="0"/>
          <w:numId w:val="2"/>
        </w:numPr>
        <w:spacing w:after="80" w:line="276"/>
      </w:pPr>
      <w:r>
        <w:rPr>
          <w:rFonts w:ascii="Times New Roman" w:cs="Times New Roman" w:eastAsia="Times New Roman" w:hAnsi="Times New Roman"/>
          <w:b/>
          <w:bCs/>
          <w:sz w:val="24"/>
          <w:szCs w:val="24"/>
        </w:rPr>
        <w:t xml:space="preserve">Bảo đảm kinh phí</w:t>
      </w:r>
      <w:r>
        <w:rPr>
          <w:rFonts w:ascii="Times New Roman" w:cs="Times New Roman" w:eastAsia="Times New Roman" w:hAnsi="Times New Roman"/>
          <w:sz w:val="24"/>
          <w:szCs w:val="24"/>
        </w:rPr>
        <w:t xml:space="preserve"> điều tra, tập huấn, in ấn phiếu – biểu và chế độ cho điều tra viên, cộng tác viên.</w:t>
      </w:r>
    </w:p>
    <w:p>
      <w:pPr>
        <w:pStyle w:val="ListParagraph"/>
        <w:numPr>
          <w:ilvl w:val="0"/>
          <w:numId w:val="2"/>
        </w:numPr>
        <w:spacing w:after="80" w:line="276"/>
      </w:pPr>
      <w:r>
        <w:rPr>
          <w:rFonts w:ascii="Times New Roman" w:cs="Times New Roman" w:eastAsia="Times New Roman" w:hAnsi="Times New Roman"/>
          <w:b/>
          <w:bCs/>
          <w:sz w:val="24"/>
          <w:szCs w:val="24"/>
        </w:rPr>
        <w:t xml:space="preserve">Chốt kỷ luật số liệu</w:t>
      </w:r>
      <w:r>
        <w:rPr>
          <w:rFonts w:ascii="Times New Roman" w:cs="Times New Roman" w:eastAsia="Times New Roman" w:hAnsi="Times New Roman"/>
          <w:sz w:val="24"/>
          <w:szCs w:val="24"/>
        </w:rPr>
        <w:t xml:space="preserve">: chỉ báo cáo con số đã được đối chiếu khớp giữa phiếu điều tra – sổ theo dõi – phần mềm.</w:t>
      </w:r>
    </w:p>
    <w:p>
      <w:pPr>
        <w:pStyle w:val="ListParagraph"/>
        <w:numPr>
          <w:ilvl w:val="0"/>
          <w:numId w:val="2"/>
        </w:numPr>
        <w:spacing w:after="80" w:line="276"/>
      </w:pPr>
      <w:r>
        <w:rPr>
          <w:rFonts w:ascii="Times New Roman" w:cs="Times New Roman" w:eastAsia="Times New Roman" w:hAnsi="Times New Roman"/>
          <w:b/>
          <w:bCs/>
          <w:sz w:val="24"/>
          <w:szCs w:val="24"/>
        </w:rPr>
        <w:t xml:space="preserve">Chuẩn bị hồ sơ sớm, tự kiểm tra nghiêm túc</w:t>
      </w:r>
      <w:r>
        <w:rPr>
          <w:rFonts w:ascii="Times New Roman" w:cs="Times New Roman" w:eastAsia="Times New Roman" w:hAnsi="Times New Roman"/>
          <w:sz w:val="24"/>
          <w:szCs w:val="24"/>
        </w:rPr>
        <w:t xml:space="preserve"> trước khi đề nghị Thành phố kiểm tra; hồ sơ đầy đủ, sạch, dễ tra cứu.</w:t>
      </w:r>
    </w:p>
    <w:p>
      <w:pPr>
        <w:pStyle w:val="ListParagraph"/>
        <w:numPr>
          <w:ilvl w:val="0"/>
          <w:numId w:val="2"/>
        </w:numPr>
        <w:spacing w:after="80" w:line="276"/>
      </w:pPr>
      <w:r>
        <w:rPr>
          <w:rFonts w:ascii="Times New Roman" w:cs="Times New Roman" w:eastAsia="Times New Roman" w:hAnsi="Times New Roman"/>
          <w:b/>
          <w:bCs/>
          <w:sz w:val="24"/>
          <w:szCs w:val="24"/>
        </w:rPr>
        <w:t xml:space="preserve">Bám sát hướng dẫn mới nhất</w:t>
      </w:r>
      <w:r>
        <w:rPr>
          <w:rFonts w:ascii="Times New Roman" w:cs="Times New Roman" w:eastAsia="Times New Roman" w:hAnsi="Times New Roman"/>
          <w:sz w:val="24"/>
          <w:szCs w:val="24"/>
        </w:rPr>
        <w:t xml:space="preserve"> của Sở GD&amp;ĐT Thành phố Hồ Chí Minh về mốc thời gian, biểu mẫu và phần mềm trong bối cảnh vận hành chính quyền 2 cấp.</w:t>
      </w:r>
    </w:p>
    <w:p>
      <w:pPr>
        <w:pBdr>
          <w:bottom w:val="single" w:color="C79A2E" w:sz="8" w:space="1"/>
        </w:pBdr>
        <w:spacing w:after="120" w:before="40"/>
      </w:pPr>
      <w:r>
        <w:rPr>
          <w:rFonts w:ascii="Times New Roman" w:cs="Times New Roman" w:eastAsia="Times New Roman" w:hAnsi="Times New Roman"/>
          <w:sz w:val="24"/>
          <w:szCs w:val="24"/>
        </w:rPr>
        <w:t xml:space="preserve"/>
      </w:r>
    </w:p>
    <w:p>
      <w:pPr>
        <w:spacing w:after="120" w:before="0" w:line="276"/>
        <w:jc w:val="both"/>
      </w:pPr>
      <w:r>
        <w:rPr>
          <w:rFonts w:ascii="Times New Roman" w:cs="Times New Roman" w:eastAsia="Times New Roman" w:hAnsi="Times New Roman"/>
          <w:i/>
          <w:iCs/>
          <w:color w:val="595959"/>
          <w:sz w:val="22"/>
          <w:szCs w:val="22"/>
        </w:rPr>
        <w:t xml:space="preserve">Tài liệu này là khung tham mưu tổng thể. Đề nghị lãnh đạo phường giao Ban chỉ đạo cụ thể hóa thành kế hoạch có mốc thời gian, phân công và chỉ tiêu chi tiết phù hợp với tình hình thực tế của Phường Thông Tây Hội.</w:t>
      </w:r>
    </w:p>
    <w:p>
      <w:pPr>
        <w:spacing w:before="400"/>
        <w:jc w:val="center"/>
      </w:pPr>
      <w:r>
        <w:rPr>
          <w:rFonts w:ascii="Times New Roman" w:cs="Times New Roman" w:eastAsia="Times New Roman" w:hAnsi="Times New Roman"/>
          <w:b/>
          <w:bCs/>
          <w:sz w:val="22"/>
          <w:szCs w:val="22"/>
        </w:rPr>
        <w:t xml:space="preserve">NGƯỜI LẬP TÀI LIỆU</w:t>
      </w:r>
    </w:p>
    <w:p>
      <w:pPr>
        <w:spacing w:after="30"/>
        <w:jc w:val="center"/>
      </w:pPr>
      <w:r>
        <w:rPr>
          <w:rFonts w:ascii="Times New Roman" w:cs="Times New Roman" w:eastAsia="Times New Roman" w:hAnsi="Times New Roman"/>
          <w:i/>
          <w:iCs/>
          <w:color w:val="595959"/>
          <w:sz w:val="20"/>
          <w:szCs w:val="20"/>
        </w:rPr>
        <w:t xml:space="preserve">(Cán bộ phụ trách công tác PCGD – XMC)</w:t>
      </w:r>
    </w:p>
    <w:sectPr>
      <w:footerReference w:type="default" r:id="rId6"/>
      <w:pgSz w:w="11906" w:h="16838" w:orient="portrait"/>
      <w:pgMar w:top="1134" w:right="1276" w:bottom="1134" w:left="127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F0" w:sz="4" w:space="4"/>
      </w:pBdr>
      <w:jc w:val="center"/>
    </w:pPr>
    <w:r>
      <w:rPr>
        <w:rFonts w:ascii="Times New Roman" w:cs="Times New Roman" w:eastAsia="Times New Roman" w:hAnsi="Times New Roman"/>
        <w:color w:val="595959"/>
        <w:sz w:val="18"/>
        <w:szCs w:val="18"/>
      </w:rPr>
      <w:t xml:space="preserve">PCGD – XMC năm 2026 · Phường Thông Tây Hội · TP. Hồ Chí Minh   |   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rPr>
        <w:color w:val="2E5496"/>
      </w:rPr>
    </w:lvl>
    <w:lvl w:ilvl="1" w: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tham mưu PCGD-XMC năm 2026</dc:title>
  <dc:creator>Ban chỉ đạo PCGD-XMC phường Thông Tây Hội</dc:creator>
  <dc:description>Kế hoạch, quy trình và hồ sơ PCGD-XMC</dc:description>
  <cp:lastModifiedBy>Un-named</cp:lastModifiedBy>
  <cp:revision>1</cp:revision>
  <dcterms:created xsi:type="dcterms:W3CDTF">2026-09-28T16:27:58.272Z</dcterms:created>
  <dcterms:modified xsi:type="dcterms:W3CDTF">2026-09-28T16:27:58.272Z</dcterms:modified>
</cp:coreProperties>
</file>

<file path=docProps/custom.xml><?xml version="1.0" encoding="utf-8"?>
<Properties xmlns="http://schemas.openxmlformats.org/officeDocument/2006/custom-properties" xmlns:vt="http://schemas.openxmlformats.org/officeDocument/2006/docPropsVTypes"/>
</file>