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TÀI LIỆU REVIEW DỰ ÁN</w:t>
        <w:br/>
        <w:t>TECHSPHEREX CONTAINER DEPOT MANAGEMENT SYSTEM</w:t>
      </w:r>
    </w:p>
    <w:p>
      <w:pPr>
        <w:jc w:val="center"/>
      </w:pPr>
      <w:r>
        <w:rPr>
          <w:i/>
          <w:color w:val="646464"/>
          <w:sz w:val="24"/>
        </w:rPr>
        <w:t>Kiến trúc Clean Architecture, CQRS, .NET 10, gRPC, Aspire, HybridCache &amp; Angular 19</w:t>
        <w:br/>
      </w:r>
    </w:p>
    <w:p>
      <w:r>
        <w:t>─────────────────────────────────────────────────────────────</w:t>
      </w:r>
    </w:p>
    <w:p>
      <w:pPr>
        <w:pStyle w:val="Heading1"/>
      </w:pPr>
      <w:r>
        <w:rPr>
          <w:b/>
          <w:color w:val="102C57"/>
          <w:sz w:val="36"/>
        </w:rPr>
        <w:t>1. TỔNG QUAN HỆ THỐNG (EXECUTIVE SUMMARY)</w:t>
      </w:r>
    </w:p>
    <w:p>
      <w:r>
        <w:rPr>
          <w:b/>
        </w:rPr>
        <w:t xml:space="preserve">TechSpherex Container Depot Management System </w:t>
      </w:r>
      <w:r>
        <w:t>là hệ thống quản lý bãi Depot Container đạt tiêu chuẩn sản xuất (Production-grade), được xây dựng trên nền tảng Clean Architecture kết hợp Domain-Driven Design (DDD) Lite, CQRS, Multi-Tenancy và hệ sinh thái phân tán hiện đại với .NET 10, .NET Aspire, PostgreSQL, Redis, gRPC, OpenTelemetry và Angular 19.</w:t>
        <w:br/>
        <w:br/>
        <w:t>Hệ thống giải quyết trọn vẹn các quy trình vận hành bãi Depot thực tế:</w:t>
      </w:r>
    </w:p>
    <w:p>
      <w:pPr>
        <w:pStyle w:val="ListBullet"/>
      </w:pPr>
      <w:r>
        <w:rPr>
          <w:b/>
        </w:rPr>
        <w:t xml:space="preserve">Quản lý sơ đồ bãi (Yard Management): </w:t>
      </w:r>
      <w:r>
        <w:t>Cấu trúc không gian 4 chiều chuẩn cảng biển: Block → Bay → Row → Tier. Hỗ trợ Block vật lý và Block ảo.</w:t>
      </w:r>
    </w:p>
    <w:p>
      <w:pPr>
        <w:pStyle w:val="ListBullet"/>
      </w:pPr>
      <w:r>
        <w:rPr>
          <w:b/>
        </w:rPr>
        <w:t xml:space="preserve">Quy trình cổng (Gate In / Gate Out): </w:t>
      </w:r>
      <w:r>
        <w:t>Quản lý xe kéo, tài xế, tình trạng vỏ cont và phát hành phiếu giao nhận EIR (Equipment Interchange Receipt).</w:t>
      </w:r>
    </w:p>
    <w:p>
      <w:pPr>
        <w:pStyle w:val="ListBullet"/>
      </w:pPr>
      <w:r>
        <w:rPr>
          <w:b/>
        </w:rPr>
        <w:t xml:space="preserve">Lệnh giao hàng (Delivery Orders - DO): </w:t>
      </w:r>
      <w:r>
        <w:t>Cấp phát vỏ cont theo hạn sử dụng và số lượng khả dụng của hãng tàu.</w:t>
      </w:r>
    </w:p>
    <w:p>
      <w:pPr>
        <w:pStyle w:val="ListBullet"/>
      </w:pPr>
      <w:r>
        <w:rPr>
          <w:b/>
        </w:rPr>
        <w:t xml:space="preserve">Báo cáo phân tích (Analytics &amp; Reports): </w:t>
      </w:r>
      <w:r>
        <w:t>Báo cáo tồn bãi theo thời gian (Aging 0-10 ngày, ≥10 ngày) và Báo cáo thông lượng ngày (Daily Throughput).</w:t>
      </w:r>
    </w:p>
    <w:p>
      <w:pPr>
        <w:pStyle w:val="ListBullet"/>
      </w:pPr>
      <w:r>
        <w:rPr>
          <w:b/>
        </w:rPr>
        <w:t xml:space="preserve">Trợ lý AI (AI Skill Agent): </w:t>
      </w:r>
      <w:r>
        <w:t>Tích hợp DepotQueryAgentSkill hỗ trợ truy vấn thông số vận hành bãi bằng ngôn ngữ tự nhiên.</w:t>
      </w:r>
    </w:p>
    <w:p>
      <w:pPr>
        <w:pStyle w:val="Heading1"/>
      </w:pPr>
      <w:r>
        <w:rPr>
          <w:b/>
          <w:color w:val="102C57"/>
          <w:sz w:val="36"/>
        </w:rPr>
        <w:t>2. KIẾN TRÚC HỆ THỐNG (CLEAN ARCHITECTURE)</w:t>
      </w:r>
    </w:p>
    <w:p>
      <w:r>
        <w:rPr>
          <w:b/>
        </w:rPr>
        <w:t xml:space="preserve">• Domain Layer (src/Domain): </w:t>
      </w:r>
      <w:r>
        <w:t>Lõi trung tâm, không phụ thuộc database/framework. Chứa Entities (Container, YardSlot, Block, Movement, DeliveryOrder, LineOperator), Value Objects (ContainerNumber ISO 6346) và Business Rules (ISO 6346 Modulo-11, Bay Parity 20ft/40ft, Stacking Weight).</w:t>
      </w:r>
    </w:p>
    <w:p>
      <w:r>
        <w:rPr>
          <w:b/>
        </w:rPr>
        <w:t xml:space="preserve">• Application Layer (src/Application): </w:t>
      </w:r>
      <w:r>
        <w:t>Hiện thực hóa các Use Cases theo mô hình CQRS (Commands/Queries), kiểm soát tính hợp lệ bằng FluentValidation, định nghĩa Interfaces và AI Skill Agent.</w:t>
      </w:r>
    </w:p>
    <w:p>
      <w:r>
        <w:rPr>
          <w:b/>
        </w:rPr>
        <w:t xml:space="preserve">• Infrastructure Layer (src/Infrastructure): </w:t>
      </w:r>
      <w:r>
        <w:t>Triển khai ApplicationDbContext (EF Core + Npgsql), cấu hình Global Query Filter cho Multi-Tenancy (WHERE TenantId = @tenant), tích hợp HybridCache (L1 Memory + L2 Redis) và JWT Authentication.</w:t>
      </w:r>
    </w:p>
    <w:p>
      <w:r>
        <w:rPr>
          <w:b/>
        </w:rPr>
        <w:t xml:space="preserve">• Presentation &amp; API Layer (src/Api): </w:t>
      </w:r>
      <w:r>
        <w:t>Cung cấp song song Minimal APIs (REST Endpoints) và gRPC Services (RPC nhị phân tốc độ cao), chia sẻ chung CQRS Handlers. Tích hợp giao diện tài liệu Scalar API.</w:t>
      </w:r>
    </w:p>
    <w:p>
      <w:r>
        <w:rPr>
          <w:b/>
        </w:rPr>
        <w:t xml:space="preserve">• AppHost &amp; Observability (src/AppHost &amp; ServiceDefaults): </w:t>
      </w:r>
      <w:r>
        <w:t>.NET Aspire điều phối tự động PostgreSQL, Redis, PgAdmin, RedisInsight và API. Tích hợp OpenTelemetry thu thập Traces, Metrics, Logs.</w:t>
      </w:r>
    </w:p>
    <w:p>
      <w:r>
        <w:rPr>
          <w:b/>
        </w:rPr>
        <w:t xml:space="preserve">• Frontend Client (client/): </w:t>
      </w:r>
      <w:r>
        <w:t>Single Page Application viết bằng Angular 19 (Standalone components, RxJS, Chart.js), render trực quan sơ đồ bãi Yard Map 4D, màn hình Gate In/Out, DO và Dashboard báo cáo.</w:t>
      </w:r>
    </w:p>
    <w:p>
      <w:pPr>
        <w:pStyle w:val="Heading1"/>
      </w:pPr>
      <w:r>
        <w:rPr>
          <w:b/>
          <w:color w:val="102C57"/>
          <w:sz w:val="36"/>
        </w:rPr>
        <w:t>3. BẢNG TỔNG HỢP CÔNG NGHỆ (TECH STACK REFERENCE)</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Pr>
          <w:p>
            <w:pPr>
              <w:jc w:val="center"/>
            </w:pPr>
            <w:r>
              <w:rPr>
                <w:b/>
                <w:color w:val="FFFFFF"/>
              </w:rPr>
              <w:t>Phân loại</w:t>
            </w:r>
          </w:p>
        </w:tc>
        <w:tc>
          <w:tcPr>
            <w:tcW w:type="dxa" w:w="2484"/>
            <w:shd w:fill="102C57"/>
          </w:tcPr>
          <w:p>
            <w:pPr>
              <w:jc w:val="center"/>
            </w:pPr>
            <w:r>
              <w:rPr>
                <w:b/>
                <w:color w:val="FFFFFF"/>
              </w:rPr>
              <w:t>Công nghệ / Thư viện</w:t>
            </w:r>
          </w:p>
        </w:tc>
        <w:tc>
          <w:tcPr>
            <w:tcW w:type="dxa" w:w="2484"/>
            <w:shd w:fill="102C57"/>
          </w:tcPr>
          <w:p>
            <w:pPr>
              <w:jc w:val="center"/>
            </w:pPr>
            <w:r>
              <w:rPr>
                <w:b/>
                <w:color w:val="FFFFFF"/>
              </w:rPr>
              <w:t>Phiên bản</w:t>
            </w:r>
          </w:p>
        </w:tc>
        <w:tc>
          <w:tcPr>
            <w:tcW w:type="dxa" w:w="2484"/>
            <w:shd w:fill="102C57"/>
          </w:tcPr>
          <w:p>
            <w:pPr>
              <w:jc w:val="center"/>
            </w:pPr>
            <w:r>
              <w:rPr>
                <w:b/>
                <w:color w:val="FFFFFF"/>
              </w:rPr>
              <w:t>Mục đích &amp; Vị trí áp dụng</w:t>
            </w:r>
          </w:p>
        </w:tc>
      </w:tr>
      <w:tr>
        <w:tc>
          <w:tcPr>
            <w:tcW w:type="dxa" w:w="2484"/>
            <w:shd w:fill="F5F7FA"/>
          </w:tcPr>
          <w:p>
            <w:r>
              <w:rPr>
                <w:sz w:val="19"/>
              </w:rPr>
              <w:t>Backend Runtime</w:t>
            </w:r>
          </w:p>
        </w:tc>
        <w:tc>
          <w:tcPr>
            <w:tcW w:type="dxa" w:w="2484"/>
            <w:shd w:fill="F5F7FA"/>
          </w:tcPr>
          <w:p>
            <w:r>
              <w:rPr>
                <w:sz w:val="19"/>
              </w:rPr>
              <w:t>.NET (C#)</w:t>
            </w:r>
          </w:p>
        </w:tc>
        <w:tc>
          <w:tcPr>
            <w:tcW w:type="dxa" w:w="2484"/>
            <w:shd w:fill="F5F7FA"/>
          </w:tcPr>
          <w:p>
            <w:r>
              <w:rPr>
                <w:sz w:val="19"/>
              </w:rPr>
              <w:t>10.0 (C# 13)</w:t>
            </w:r>
          </w:p>
        </w:tc>
        <w:tc>
          <w:tcPr>
            <w:tcW w:type="dxa" w:w="2484"/>
            <w:shd w:fill="F5F7FA"/>
          </w:tcPr>
          <w:p>
            <w:r>
              <w:rPr>
                <w:sz w:val="19"/>
              </w:rPr>
              <w:t>Nền tảng thực thi toàn bộ backend</w:t>
            </w:r>
          </w:p>
        </w:tc>
      </w:tr>
      <w:tr>
        <w:tc>
          <w:tcPr>
            <w:tcW w:type="dxa" w:w="2484"/>
          </w:tcPr>
          <w:p>
            <w:r>
              <w:rPr>
                <w:sz w:val="19"/>
              </w:rPr>
              <w:t>Orchestration</w:t>
            </w:r>
          </w:p>
        </w:tc>
        <w:tc>
          <w:tcPr>
            <w:tcW w:type="dxa" w:w="2484"/>
          </w:tcPr>
          <w:p>
            <w:r>
              <w:rPr>
                <w:sz w:val="19"/>
              </w:rPr>
              <w:t>.NET Aspire</w:t>
            </w:r>
          </w:p>
        </w:tc>
        <w:tc>
          <w:tcPr>
            <w:tcW w:type="dxa" w:w="2484"/>
          </w:tcPr>
          <w:p>
            <w:r>
              <w:rPr>
                <w:sz w:val="19"/>
              </w:rPr>
              <w:t>13.5</w:t>
            </w:r>
          </w:p>
        </w:tc>
        <w:tc>
          <w:tcPr>
            <w:tcW w:type="dxa" w:w="2484"/>
          </w:tcPr>
          <w:p>
            <w:r>
              <w:rPr>
                <w:sz w:val="19"/>
              </w:rPr>
              <w:t>Điều phối container và microservices (src/AppHost)</w:t>
            </w:r>
          </w:p>
        </w:tc>
      </w:tr>
      <w:tr>
        <w:tc>
          <w:tcPr>
            <w:tcW w:type="dxa" w:w="2484"/>
            <w:shd w:fill="F5F7FA"/>
          </w:tcPr>
          <w:p>
            <w:r>
              <w:rPr>
                <w:sz w:val="19"/>
              </w:rPr>
              <w:t>Database</w:t>
            </w:r>
          </w:p>
        </w:tc>
        <w:tc>
          <w:tcPr>
            <w:tcW w:type="dxa" w:w="2484"/>
            <w:shd w:fill="F5F7FA"/>
          </w:tcPr>
          <w:p>
            <w:r>
              <w:rPr>
                <w:sz w:val="19"/>
              </w:rPr>
              <w:t>PostgreSQL</w:t>
            </w:r>
          </w:p>
        </w:tc>
        <w:tc>
          <w:tcPr>
            <w:tcW w:type="dxa" w:w="2484"/>
            <w:shd w:fill="F5F7FA"/>
          </w:tcPr>
          <w:p>
            <w:r>
              <w:rPr>
                <w:sz w:val="19"/>
              </w:rPr>
              <w:t>16+ / Npgsql 10.0</w:t>
            </w:r>
          </w:p>
        </w:tc>
        <w:tc>
          <w:tcPr>
            <w:tcW w:type="dxa" w:w="2484"/>
            <w:shd w:fill="F5F7FA"/>
          </w:tcPr>
          <w:p>
            <w:r>
              <w:rPr>
                <w:sz w:val="19"/>
              </w:rPr>
              <w:t>Hệ cơ sở dữ liệu quan hệ chính</w:t>
            </w:r>
          </w:p>
        </w:tc>
      </w:tr>
      <w:tr>
        <w:tc>
          <w:tcPr>
            <w:tcW w:type="dxa" w:w="2484"/>
          </w:tcPr>
          <w:p>
            <w:r>
              <w:rPr>
                <w:sz w:val="19"/>
              </w:rPr>
              <w:t>ORM</w:t>
            </w:r>
          </w:p>
        </w:tc>
        <w:tc>
          <w:tcPr>
            <w:tcW w:type="dxa" w:w="2484"/>
          </w:tcPr>
          <w:p>
            <w:r>
              <w:rPr>
                <w:sz w:val="19"/>
              </w:rPr>
              <w:t>Entity Framework Core</w:t>
            </w:r>
          </w:p>
        </w:tc>
        <w:tc>
          <w:tcPr>
            <w:tcW w:type="dxa" w:w="2484"/>
          </w:tcPr>
          <w:p>
            <w:r>
              <w:rPr>
                <w:sz w:val="19"/>
              </w:rPr>
              <w:t>10.0.11</w:t>
            </w:r>
          </w:p>
        </w:tc>
        <w:tc>
          <w:tcPr>
            <w:tcW w:type="dxa" w:w="2484"/>
          </w:tcPr>
          <w:p>
            <w:r>
              <w:rPr>
                <w:sz w:val="19"/>
              </w:rPr>
              <w:t>Data access, Migrations, Multi-tenant filter</w:t>
            </w:r>
          </w:p>
        </w:tc>
      </w:tr>
      <w:tr>
        <w:tc>
          <w:tcPr>
            <w:tcW w:type="dxa" w:w="2484"/>
            <w:shd w:fill="F5F7FA"/>
          </w:tcPr>
          <w:p>
            <w:r>
              <w:rPr>
                <w:sz w:val="19"/>
              </w:rPr>
              <w:t>Caching</w:t>
            </w:r>
          </w:p>
        </w:tc>
        <w:tc>
          <w:tcPr>
            <w:tcW w:type="dxa" w:w="2484"/>
            <w:shd w:fill="F5F7FA"/>
          </w:tcPr>
          <w:p>
            <w:r>
              <w:rPr>
                <w:sz w:val="19"/>
              </w:rPr>
              <w:t>Redis + HybridCache</w:t>
            </w:r>
          </w:p>
        </w:tc>
        <w:tc>
          <w:tcPr>
            <w:tcW w:type="dxa" w:w="2484"/>
            <w:shd w:fill="F5F7FA"/>
          </w:tcPr>
          <w:p>
            <w:r>
              <w:rPr>
                <w:sz w:val="19"/>
              </w:rPr>
              <w:t>10.4</w:t>
            </w:r>
          </w:p>
        </w:tc>
        <w:tc>
          <w:tcPr>
            <w:tcW w:type="dxa" w:w="2484"/>
            <w:shd w:fill="F5F7FA"/>
          </w:tcPr>
          <w:p>
            <w:r>
              <w:rPr>
                <w:sz w:val="19"/>
              </w:rPr>
              <w:t>Cache phân tán 2 tầng (L1 RAM + L2 Redis)</w:t>
            </w:r>
          </w:p>
        </w:tc>
      </w:tr>
      <w:tr>
        <w:tc>
          <w:tcPr>
            <w:tcW w:type="dxa" w:w="2484"/>
          </w:tcPr>
          <w:p>
            <w:r>
              <w:rPr>
                <w:sz w:val="19"/>
              </w:rPr>
              <w:t>Giao tiếp RPC</w:t>
            </w:r>
          </w:p>
        </w:tc>
        <w:tc>
          <w:tcPr>
            <w:tcW w:type="dxa" w:w="2484"/>
          </w:tcPr>
          <w:p>
            <w:r>
              <w:rPr>
                <w:sz w:val="19"/>
              </w:rPr>
              <w:t>gRPC + Protobuf</w:t>
            </w:r>
          </w:p>
        </w:tc>
        <w:tc>
          <w:tcPr>
            <w:tcW w:type="dxa" w:w="2484"/>
          </w:tcPr>
          <w:p>
            <w:r>
              <w:rPr>
                <w:sz w:val="19"/>
              </w:rPr>
              <w:t>2.76 / 3.31</w:t>
            </w:r>
          </w:p>
        </w:tc>
        <w:tc>
          <w:tcPr>
            <w:tcW w:type="dxa" w:w="2484"/>
          </w:tcPr>
          <w:p>
            <w:r>
              <w:rPr>
                <w:sz w:val="19"/>
              </w:rPr>
              <w:t>Giao tiếp API nhị phân hiệu năng cao (src/Api/Protos)</w:t>
            </w:r>
          </w:p>
        </w:tc>
      </w:tr>
      <w:tr>
        <w:tc>
          <w:tcPr>
            <w:tcW w:type="dxa" w:w="2484"/>
            <w:shd w:fill="F5F7FA"/>
          </w:tcPr>
          <w:p>
            <w:r>
              <w:rPr>
                <w:sz w:val="19"/>
              </w:rPr>
              <w:t>Validation</w:t>
            </w:r>
          </w:p>
        </w:tc>
        <w:tc>
          <w:tcPr>
            <w:tcW w:type="dxa" w:w="2484"/>
            <w:shd w:fill="F5F7FA"/>
          </w:tcPr>
          <w:p>
            <w:r>
              <w:rPr>
                <w:sz w:val="19"/>
              </w:rPr>
              <w:t>FluentValidation</w:t>
            </w:r>
          </w:p>
        </w:tc>
        <w:tc>
          <w:tcPr>
            <w:tcW w:type="dxa" w:w="2484"/>
            <w:shd w:fill="F5F7FA"/>
          </w:tcPr>
          <w:p>
            <w:r>
              <w:rPr>
                <w:sz w:val="19"/>
              </w:rPr>
              <w:t>12.1</w:t>
            </w:r>
          </w:p>
        </w:tc>
        <w:tc>
          <w:tcPr>
            <w:tcW w:type="dxa" w:w="2484"/>
            <w:shd w:fill="F5F7FA"/>
          </w:tcPr>
          <w:p>
            <w:r>
              <w:rPr>
                <w:sz w:val="19"/>
              </w:rPr>
              <w:t>Kiểm tra tính hợp lệ dữ liệu đầu vào</w:t>
            </w:r>
          </w:p>
        </w:tc>
      </w:tr>
      <w:tr>
        <w:tc>
          <w:tcPr>
            <w:tcW w:type="dxa" w:w="2484"/>
          </w:tcPr>
          <w:p>
            <w:r>
              <w:rPr>
                <w:sz w:val="19"/>
              </w:rPr>
              <w:t>API Docs</w:t>
            </w:r>
          </w:p>
        </w:tc>
        <w:tc>
          <w:tcPr>
            <w:tcW w:type="dxa" w:w="2484"/>
          </w:tcPr>
          <w:p>
            <w:r>
              <w:rPr>
                <w:sz w:val="19"/>
              </w:rPr>
              <w:t>Scalar API Reference</w:t>
            </w:r>
          </w:p>
        </w:tc>
        <w:tc>
          <w:tcPr>
            <w:tcW w:type="dxa" w:w="2484"/>
          </w:tcPr>
          <w:p>
            <w:r>
              <w:rPr>
                <w:sz w:val="19"/>
              </w:rPr>
              <w:t>2.13</w:t>
            </w:r>
          </w:p>
        </w:tc>
        <w:tc>
          <w:tcPr>
            <w:tcW w:type="dxa" w:w="2484"/>
          </w:tcPr>
          <w:p>
            <w:r>
              <w:rPr>
                <w:sz w:val="19"/>
              </w:rPr>
              <w:t>Giao diện tài liệu và test API hiện đại</w:t>
            </w:r>
          </w:p>
        </w:tc>
      </w:tr>
      <w:tr>
        <w:tc>
          <w:tcPr>
            <w:tcW w:type="dxa" w:w="2484"/>
            <w:shd w:fill="F5F7FA"/>
          </w:tcPr>
          <w:p>
            <w:r>
              <w:rPr>
                <w:sz w:val="19"/>
              </w:rPr>
              <w:t>Logging &amp; Tracing</w:t>
            </w:r>
          </w:p>
        </w:tc>
        <w:tc>
          <w:tcPr>
            <w:tcW w:type="dxa" w:w="2484"/>
            <w:shd w:fill="F5F7FA"/>
          </w:tcPr>
          <w:p>
            <w:r>
              <w:rPr>
                <w:sz w:val="19"/>
              </w:rPr>
              <w:t>Serilog, OpenTelemetry</w:t>
            </w:r>
          </w:p>
        </w:tc>
        <w:tc>
          <w:tcPr>
            <w:tcW w:type="dxa" w:w="2484"/>
            <w:shd w:fill="F5F7FA"/>
          </w:tcPr>
          <w:p>
            <w:r>
              <w:rPr>
                <w:sz w:val="19"/>
              </w:rPr>
              <w:t>10.0 / 1.15</w:t>
            </w:r>
          </w:p>
        </w:tc>
        <w:tc>
          <w:tcPr>
            <w:tcW w:type="dxa" w:w="2484"/>
            <w:shd w:fill="F5F7FA"/>
          </w:tcPr>
          <w:p>
            <w:r>
              <w:rPr>
                <w:sz w:val="19"/>
              </w:rPr>
              <w:t>Giám sát, log tập trung ELK &amp; Grafana</w:t>
            </w:r>
          </w:p>
        </w:tc>
      </w:tr>
      <w:tr>
        <w:tc>
          <w:tcPr>
            <w:tcW w:type="dxa" w:w="2484"/>
          </w:tcPr>
          <w:p>
            <w:r>
              <w:rPr>
                <w:sz w:val="19"/>
              </w:rPr>
              <w:t>Frontend</w:t>
            </w:r>
          </w:p>
        </w:tc>
        <w:tc>
          <w:tcPr>
            <w:tcW w:type="dxa" w:w="2484"/>
          </w:tcPr>
          <w:p>
            <w:r>
              <w:rPr>
                <w:sz w:val="19"/>
              </w:rPr>
              <w:t>Angular</w:t>
            </w:r>
          </w:p>
        </w:tc>
        <w:tc>
          <w:tcPr>
            <w:tcW w:type="dxa" w:w="2484"/>
          </w:tcPr>
          <w:p>
            <w:r>
              <w:rPr>
                <w:sz w:val="19"/>
              </w:rPr>
              <w:t>19.0</w:t>
            </w:r>
          </w:p>
        </w:tc>
        <w:tc>
          <w:tcPr>
            <w:tcW w:type="dxa" w:w="2484"/>
          </w:tcPr>
          <w:p>
            <w:r>
              <w:rPr>
                <w:sz w:val="19"/>
              </w:rPr>
              <w:t>Web SPA quản lý bãi Depot (client/)</w:t>
            </w:r>
          </w:p>
        </w:tc>
      </w:tr>
      <w:tr>
        <w:tc>
          <w:tcPr>
            <w:tcW w:type="dxa" w:w="2484"/>
            <w:shd w:fill="F5F7FA"/>
          </w:tcPr>
          <w:p>
            <w:r>
              <w:rPr>
                <w:sz w:val="19"/>
              </w:rPr>
              <w:t>Charts</w:t>
            </w:r>
          </w:p>
        </w:tc>
        <w:tc>
          <w:tcPr>
            <w:tcW w:type="dxa" w:w="2484"/>
            <w:shd w:fill="F5F7FA"/>
          </w:tcPr>
          <w:p>
            <w:r>
              <w:rPr>
                <w:sz w:val="19"/>
              </w:rPr>
              <w:t>Chart.js / ng2-charts</w:t>
            </w:r>
          </w:p>
        </w:tc>
        <w:tc>
          <w:tcPr>
            <w:tcW w:type="dxa" w:w="2484"/>
            <w:shd w:fill="F5F7FA"/>
          </w:tcPr>
          <w:p>
            <w:r>
              <w:rPr>
                <w:sz w:val="19"/>
              </w:rPr>
              <w:t>4.4 / 6.0</w:t>
            </w:r>
          </w:p>
        </w:tc>
        <w:tc>
          <w:tcPr>
            <w:tcW w:type="dxa" w:w="2484"/>
            <w:shd w:fill="F5F7FA"/>
          </w:tcPr>
          <w:p>
            <w:r>
              <w:rPr>
                <w:sz w:val="19"/>
              </w:rPr>
              <w:t>Biểu đồ thống kê Aging &amp; Throughput</w:t>
            </w:r>
          </w:p>
        </w:tc>
      </w:tr>
      <w:tr>
        <w:tc>
          <w:tcPr>
            <w:tcW w:type="dxa" w:w="2484"/>
          </w:tcPr>
          <w:p>
            <w:r>
              <w:rPr>
                <w:sz w:val="19"/>
              </w:rPr>
              <w:t>Containers</w:t>
            </w:r>
          </w:p>
        </w:tc>
        <w:tc>
          <w:tcPr>
            <w:tcW w:type="dxa" w:w="2484"/>
          </w:tcPr>
          <w:p>
            <w:r>
              <w:rPr>
                <w:sz w:val="19"/>
              </w:rPr>
              <w:t>Docker &amp; Compose</w:t>
            </w:r>
          </w:p>
        </w:tc>
        <w:tc>
          <w:tcPr>
            <w:tcW w:type="dxa" w:w="2484"/>
          </w:tcPr>
          <w:p>
            <w:r>
              <w:rPr>
                <w:sz w:val="19"/>
              </w:rPr>
              <w:t>—</w:t>
            </w:r>
          </w:p>
        </w:tc>
        <w:tc>
          <w:tcPr>
            <w:tcW w:type="dxa" w:w="2484"/>
          </w:tcPr>
          <w:p>
            <w:r>
              <w:rPr>
                <w:sz w:val="19"/>
              </w:rPr>
              <w:t>Container hóa toàn bộ hệ thống</w:t>
            </w:r>
          </w:p>
        </w:tc>
      </w:tr>
      <w:tr>
        <w:tc>
          <w:tcPr>
            <w:tcW w:type="dxa" w:w="2484"/>
            <w:shd w:fill="F5F7FA"/>
          </w:tcPr>
          <w:p>
            <w:r>
              <w:rPr>
                <w:sz w:val="19"/>
              </w:rPr>
              <w:t>Kiểm thử</w:t>
            </w:r>
          </w:p>
        </w:tc>
        <w:tc>
          <w:tcPr>
            <w:tcW w:type="dxa" w:w="2484"/>
            <w:shd w:fill="F5F7FA"/>
          </w:tcPr>
          <w:p>
            <w:r>
              <w:rPr>
                <w:sz w:val="19"/>
              </w:rPr>
              <w:t>xUnit v3, NSubstitute</w:t>
            </w:r>
          </w:p>
        </w:tc>
        <w:tc>
          <w:tcPr>
            <w:tcW w:type="dxa" w:w="2484"/>
            <w:shd w:fill="F5F7FA"/>
          </w:tcPr>
          <w:p>
            <w:r>
              <w:rPr>
                <w:sz w:val="19"/>
              </w:rPr>
              <w:t>3.2 / 5.3</w:t>
            </w:r>
          </w:p>
        </w:tc>
        <w:tc>
          <w:tcPr>
            <w:tcW w:type="dxa" w:w="2484"/>
            <w:shd w:fill="F5F7FA"/>
          </w:tcPr>
          <w:p>
            <w:r>
              <w:rPr>
                <w:sz w:val="19"/>
              </w:rPr>
              <w:t>Unit Test &amp; Architecture Rules (tests/)</w:t>
            </w:r>
          </w:p>
        </w:tc>
      </w:tr>
    </w:tbl>
    <w:p>
      <w:r>
        <w:br/>
      </w:r>
    </w:p>
    <w:p>
      <w:pPr>
        <w:pStyle w:val="Heading1"/>
      </w:pPr>
      <w:r>
        <w:rPr>
          <w:b/>
          <w:color w:val="102C57"/>
          <w:sz w:val="36"/>
        </w:rPr>
        <w:t>4. CÁC QUY TẮC NGHIỆP VỤ CỐT LÕI (BUSINESS RULES)</w:t>
      </w:r>
    </w:p>
    <w:p>
      <w:r>
        <w:rPr>
          <w:b/>
        </w:rPr>
        <w:t xml:space="preserve">1. Chuẩn hóa số Container (ISO 6346 Modulo-11): </w:t>
      </w:r>
      <w:r>
        <w:t>Định dạng 4 chữ cái (Mã chủ sở hữu + loại thiết bị) + 6 số seri + 1 số kiểm tra (Check Digit). Kiểm tra tính hợp lệ bằng thuật toán nhân trọng số lũy thừa của 2 chia lấy dư 11.</w:t>
      </w:r>
    </w:p>
    <w:p>
      <w:r>
        <w:rPr>
          <w:b/>
        </w:rPr>
        <w:t xml:space="preserve">2. Quy tắc Bay chẵn / Bay lẻ (Bay Parity): </w:t>
      </w:r>
      <w:r>
        <w:t>Container 20ft xếp tại Bay số lẻ (01, 03, 05...). Container 40ft chiếm 2 Bay 20ft liền kề và định danh bằng Bay số chẵn ở giữa (Bay 02 = 01 + 03).</w:t>
      </w:r>
    </w:p>
    <w:p>
      <w:r>
        <w:rPr>
          <w:b/>
        </w:rPr>
        <w:t xml:space="preserve">3. Quy tắc tải trọng và an toàn xếp tầng: </w:t>
      </w:r>
      <w:r>
        <w:t>Kiểm tra giới hạn MaxTier của Block. Container nặng không được xếp chồng lên trên container nhẹ hơn hoặc rỗng.</w:t>
      </w:r>
    </w:p>
    <w:p>
      <w:r>
        <w:rPr>
          <w:b/>
        </w:rPr>
        <w:t xml:space="preserve">4. Quy tắc xuất vỏ theo lệnh giao hàng (DO): </w:t>
      </w:r>
      <w:r>
        <w:t>Lệnh giao hàng phải còn hạn sử dụng (ExpiryDate &gt;= Today) và số lượng đã giao chưa vượt quá số lượng đăng ký.</w:t>
      </w:r>
    </w:p>
    <w:p>
      <w:pPr>
        <w:pStyle w:val="Heading1"/>
      </w:pPr>
      <w:r>
        <w:rPr>
          <w:b/>
          <w:color w:val="102C57"/>
          <w:sz w:val="36"/>
        </w:rPr>
        <w:t>5. BỘ CÂU HỎI &amp; TRẢ LỜI NHANH CHO BUỔI REVIEW (Q&amp;A CHEAT SHEET)</w:t>
      </w:r>
    </w:p>
    <w:p>
      <w:r>
        <w:rPr>
          <w:b/>
          <w:color w:val="102C57"/>
        </w:rPr>
        <w:t>Q1: Tại sao dự án lại chọn Clean Architecture thay vì n-tier truyền thống?</w:t>
      </w:r>
    </w:p>
    <w:p>
      <w:r>
        <w:t>→ Clean Architecture đưa Domain và Core Business vào trung tâm, hoàn toàn độc lập với Database, UI hay Framework. Khi thay đổi Database (Postgres sang MySQL) hoặc thêm kênh giao tiếp mới (gRPC, GraphQL), toàn bộ logic nghiệp vụ ở Domain và Application không bị thay đổi và không cần viết lại.</w:t>
      </w:r>
    </w:p>
    <w:p>
      <w:r>
        <w:rPr>
          <w:b/>
          <w:color w:val="102C57"/>
        </w:rPr>
        <w:t>Q2: Cơ chế Multi-Tenancy được triển khai như thế nào?</w:t>
      </w:r>
    </w:p>
    <w:p>
      <w:r>
        <w:t>→ Mỗi Entity kế thừa ITenantEntity (có TenantId). Request đến được TenantContext trích xuất TenantId từ Header X-Tenant-Id hoặc JWT Claim. EF Core áp dụng Global Query Filter (HasQueryFilter) tự động chèn WHERE TenantId = @TenantId vào tất cả câu truy vấn SQL, đảm bảo cô lập dữ liệu 100% giữa các Depot/Hãng tàu.</w:t>
      </w:r>
    </w:p>
    <w:p>
      <w:r>
        <w:rPr>
          <w:b/>
          <w:color w:val="102C57"/>
        </w:rPr>
        <w:t>Q3: HybridCache có ưu điểm gì so với Distributed Cache thông thường?</w:t>
      </w:r>
    </w:p>
    <w:p>
      <w:r>
        <w:t>→ HybridCache kết hợp 2 tầng cache: L1 In-Memory RAM trong tiến trình (truy xuất microsecond) và L2 Redis (đồng bộ đa node). Nó tích hợp sẵn cơ chế chống Cache Stampede (chỉ 1 luồng truy vấn database khi cache hết hạn, các luồng khác chờ kết quả), tối ưu hiệu năng tải sơ đồ bãi Yard Map.</w:t>
      </w:r>
    </w:p>
    <w:p>
      <w:r>
        <w:rPr>
          <w:b/>
          <w:color w:val="102C57"/>
        </w:rPr>
        <w:t>Q4: Làm thế nào để REST API và gRPC chia sẻ chung logic?</w:t>
      </w:r>
    </w:p>
    <w:p>
      <w:r>
        <w:t>→ Cả Minimal API Endpoints và gRPC Services đều là các Adapters ở tầng ngoài. Khi nhận request, cả hai đều gọi trực tiếp vào CQRS Handlers tại Application Layer, đảm bảo DRY (Don't Repeat Yourself) và nhất quán 100% logic.</w:t>
      </w:r>
    </w:p>
    <w:p>
      <w:r>
        <w:rPr>
          <w:b/>
          <w:color w:val="102C57"/>
        </w:rPr>
        <w:t>Q5: Dự án đảm bảo chất lượng mã nguồn như thế nào?</w:t>
      </w:r>
    </w:p>
    <w:p>
      <w:r>
        <w:t>→ Dự án tích hợp Architecture Tests (NetArchTest) để kiểm soát ràng buộc phụ thuộc giữa các tầng, Unit Tests (xUnit, NSubstitute) kiểm thử các thuật toán nghiệp vụ (ISO 6346, Bay parity), và cấu hình SonarQube phân tích code smells.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