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OCR System Overview</w:t>
      </w:r>
    </w:p>
    <w:p>
      <w:pPr>
        <w:pStyle w:val="Heading1"/>
      </w:pPr>
      <w:r>
        <w:t>1. Introduction</w:t>
      </w:r>
    </w:p>
    <w:p>
      <w:pPr>
        <w:spacing w:line="276" w:lineRule="auto" w:after="120"/>
        <w:ind w:firstLine="432"/>
        <w:jc w:val="both"/>
      </w:pPr>
      <w:r>
        <w:t>The OCR system in this repository extracts structured text from receipt imagery to support downstream processing and system evaluation.</w:t>
      </w:r>
    </w:p>
    <w:p>
      <w:pPr>
        <w:pStyle w:val="Heading1"/>
      </w:pPr>
      <w:r>
        <w:t>2. OCR Workflow</w:t>
      </w:r>
    </w:p>
    <w:p>
      <w:pPr>
        <w:spacing w:line="276" w:lineRule="auto" w:after="120"/>
        <w:ind w:firstLine="432"/>
        <w:jc w:val="both"/>
      </w:pPr>
      <w:r>
        <w:t>The workflow acquires receipt images, applies preprocessing and optional layout analysis, runs OCR, and normalizes the extracted text for application use.</w:t>
      </w:r>
    </w:p>
    <w:p>
      <w:pPr>
        <w:pStyle w:val="Heading1"/>
      </w:pPr>
      <w:r>
        <w:t>3. Technologies Used</w:t>
      </w:r>
    </w:p>
    <w:p>
      <w:pPr>
        <w:spacing w:line="276" w:lineRule="auto" w:after="120"/>
        <w:ind w:firstLine="432"/>
        <w:jc w:val="both"/>
      </w:pPr>
      <w:r>
        <w:t>The implementation combines FastAPI-based services with OCR and computer vision libraries, including PaddleOCR, VietOCR, Ultralytics models, and supporting Python infrastructure.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