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DE5E6" w14:textId="77777777" w:rsidR="00F45EA0" w:rsidRDefault="00F45EA0">
      <w:pPr>
        <w:rPr>
          <w:bdr w:val="none" w:sz="0" w:space="0" w:color="auto" w:frame="1"/>
        </w:rPr>
      </w:pPr>
      <w:r>
        <w:rPr>
          <w:bdr w:val="none" w:sz="0" w:space="0" w:color="auto" w:frame="1"/>
        </w:rPr>
        <w:fldChar w:fldCharType="begin"/>
      </w:r>
      <w:r>
        <w:rPr>
          <w:bdr w:val="none" w:sz="0" w:space="0" w:color="auto" w:frame="1"/>
        </w:rPr>
        <w:instrText xml:space="preserve"> INCLUDEPICTURE "https://lh5.googleusercontent.com/7nUKu0F8b7moKWZbt6viYNOxf3AVdYgSgMG69SesD0ie9AgnG2HF8iwDir61wCzXMe7HI15t_YIvhoiuwfakuqMlWm27Zc8vztWOkBg9HwdsCUaSXnRPzsLp0aAK2pPue8c2Yn8ixvB9aeP0QvzjGqZa2NFuTk2kWq0_py7fnMW6htrjq7WifbzmXz9p6g" \* MERGEFORMATINET </w:instrText>
      </w:r>
      <w:r>
        <w:rPr>
          <w:bdr w:val="none" w:sz="0" w:space="0" w:color="auto" w:frame="1"/>
        </w:rPr>
        <w:fldChar w:fldCharType="separate"/>
      </w:r>
      <w:r>
        <w:rPr>
          <w:noProof/>
          <w:bdr w:val="none" w:sz="0" w:space="0" w:color="auto" w:frame="1"/>
        </w:rPr>
        <w:drawing>
          <wp:inline distT="0" distB="0" distL="0" distR="0" wp14:anchorId="02A96F10" wp14:editId="391662FF">
            <wp:extent cx="5733415" cy="209931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2099310"/>
                    </a:xfrm>
                    <a:prstGeom prst="rect">
                      <a:avLst/>
                    </a:prstGeom>
                    <a:noFill/>
                    <a:ln>
                      <a:noFill/>
                    </a:ln>
                  </pic:spPr>
                </pic:pic>
              </a:graphicData>
            </a:graphic>
          </wp:inline>
        </w:drawing>
      </w:r>
      <w:r>
        <w:rPr>
          <w:bdr w:val="none" w:sz="0" w:space="0" w:color="auto" w:frame="1"/>
        </w:rPr>
        <w:fldChar w:fldCharType="end"/>
      </w:r>
    </w:p>
    <w:p w14:paraId="133FC26E" w14:textId="77777777" w:rsidR="00F45EA0" w:rsidRDefault="00F45EA0">
      <w:pPr>
        <w:rPr>
          <w:bdr w:val="none" w:sz="0" w:space="0" w:color="auto" w:frame="1"/>
        </w:rPr>
      </w:pPr>
    </w:p>
    <w:tbl>
      <w:tblPr>
        <w:tblStyle w:val="TableGrid"/>
        <w:tblW w:w="0" w:type="auto"/>
        <w:tblLook w:val="04A0" w:firstRow="1" w:lastRow="0" w:firstColumn="1" w:lastColumn="0" w:noHBand="0" w:noVBand="1"/>
      </w:tblPr>
      <w:tblGrid>
        <w:gridCol w:w="4509"/>
        <w:gridCol w:w="4510"/>
      </w:tblGrid>
      <w:tr w:rsidR="00F45EA0" w14:paraId="7B840BA4" w14:textId="77777777" w:rsidTr="00F45EA0">
        <w:tc>
          <w:tcPr>
            <w:tcW w:w="4509" w:type="dxa"/>
          </w:tcPr>
          <w:p w14:paraId="547C846A" w14:textId="2D31AFCC" w:rsidR="00F45EA0" w:rsidRPr="00F45EA0" w:rsidRDefault="00F45EA0" w:rsidP="00F45EA0">
            <w:pPr>
              <w:jc w:val="center"/>
              <w:rPr>
                <w:sz w:val="28"/>
                <w:szCs w:val="28"/>
                <w:lang w:val="vi-VN"/>
              </w:rPr>
            </w:pPr>
            <w:r w:rsidRPr="00F45EA0">
              <w:rPr>
                <w:sz w:val="28"/>
                <w:szCs w:val="28"/>
                <w:lang w:val="vi-VN"/>
              </w:rPr>
              <w:t>Course code</w:t>
            </w:r>
          </w:p>
        </w:tc>
        <w:tc>
          <w:tcPr>
            <w:tcW w:w="4510" w:type="dxa"/>
          </w:tcPr>
          <w:p w14:paraId="47F0CA0C" w14:textId="6C858DD4" w:rsidR="00F45EA0" w:rsidRPr="00F45EA0" w:rsidRDefault="00F45EA0" w:rsidP="00F45EA0">
            <w:pPr>
              <w:jc w:val="center"/>
              <w:rPr>
                <w:sz w:val="28"/>
                <w:szCs w:val="28"/>
                <w:lang w:val="vi-VN"/>
              </w:rPr>
            </w:pPr>
            <w:r w:rsidRPr="00F45EA0">
              <w:rPr>
                <w:sz w:val="28"/>
                <w:szCs w:val="28"/>
                <w:lang w:val="vi-VN"/>
              </w:rPr>
              <w:t>ECON1193B</w:t>
            </w:r>
          </w:p>
        </w:tc>
      </w:tr>
      <w:tr w:rsidR="00F45EA0" w14:paraId="23E8A5ED" w14:textId="77777777" w:rsidTr="00F45EA0">
        <w:tc>
          <w:tcPr>
            <w:tcW w:w="4509" w:type="dxa"/>
          </w:tcPr>
          <w:p w14:paraId="13BF9841" w14:textId="6B9E8151" w:rsidR="00F45EA0" w:rsidRPr="00F45EA0" w:rsidRDefault="00F45EA0" w:rsidP="00F45EA0">
            <w:pPr>
              <w:jc w:val="center"/>
              <w:rPr>
                <w:sz w:val="28"/>
                <w:szCs w:val="28"/>
                <w:lang w:val="vi-VN"/>
              </w:rPr>
            </w:pPr>
            <w:r w:rsidRPr="00F45EA0">
              <w:rPr>
                <w:sz w:val="28"/>
                <w:szCs w:val="28"/>
                <w:lang w:val="vi-VN"/>
              </w:rPr>
              <w:t>Course name</w:t>
            </w:r>
          </w:p>
        </w:tc>
        <w:tc>
          <w:tcPr>
            <w:tcW w:w="4510" w:type="dxa"/>
          </w:tcPr>
          <w:p w14:paraId="3840AAE3" w14:textId="723714FE" w:rsidR="00F45EA0" w:rsidRPr="00F45EA0" w:rsidRDefault="00F45EA0" w:rsidP="00F45EA0">
            <w:pPr>
              <w:jc w:val="center"/>
              <w:rPr>
                <w:sz w:val="28"/>
                <w:szCs w:val="28"/>
                <w:lang w:val="en-US"/>
              </w:rPr>
            </w:pPr>
            <w:r w:rsidRPr="00F45EA0">
              <w:rPr>
                <w:sz w:val="28"/>
                <w:szCs w:val="28"/>
                <w:lang w:val="vi-VN"/>
              </w:rPr>
              <w:t>B</w:t>
            </w:r>
            <w:proofErr w:type="spellStart"/>
            <w:r w:rsidRPr="00F45EA0">
              <w:rPr>
                <w:sz w:val="28"/>
                <w:szCs w:val="28"/>
                <w:lang w:val="en-US"/>
              </w:rPr>
              <w:t>usiness</w:t>
            </w:r>
            <w:proofErr w:type="spellEnd"/>
            <w:r w:rsidRPr="00F45EA0">
              <w:rPr>
                <w:sz w:val="28"/>
                <w:szCs w:val="28"/>
                <w:lang w:val="en-US"/>
              </w:rPr>
              <w:t xml:space="preserve"> Statistics 1</w:t>
            </w:r>
          </w:p>
        </w:tc>
      </w:tr>
      <w:tr w:rsidR="00F45EA0" w14:paraId="069ACC56" w14:textId="77777777" w:rsidTr="00F45EA0">
        <w:tc>
          <w:tcPr>
            <w:tcW w:w="4509" w:type="dxa"/>
          </w:tcPr>
          <w:p w14:paraId="2F32384F" w14:textId="3CE18576" w:rsidR="00F45EA0" w:rsidRPr="00F45EA0" w:rsidRDefault="00F45EA0" w:rsidP="00F45EA0">
            <w:pPr>
              <w:jc w:val="center"/>
              <w:rPr>
                <w:sz w:val="28"/>
                <w:szCs w:val="28"/>
                <w:lang w:val="en-US"/>
              </w:rPr>
            </w:pPr>
            <w:r w:rsidRPr="00F45EA0">
              <w:rPr>
                <w:sz w:val="28"/>
                <w:szCs w:val="28"/>
                <w:lang w:val="en-US"/>
              </w:rPr>
              <w:t>Lecturer’s Name</w:t>
            </w:r>
          </w:p>
        </w:tc>
        <w:tc>
          <w:tcPr>
            <w:tcW w:w="4510" w:type="dxa"/>
          </w:tcPr>
          <w:p w14:paraId="34A705EB" w14:textId="3291EEA7" w:rsidR="00F45EA0" w:rsidRPr="00F45EA0" w:rsidRDefault="00F45EA0" w:rsidP="00F45EA0">
            <w:pPr>
              <w:jc w:val="center"/>
              <w:rPr>
                <w:sz w:val="28"/>
                <w:szCs w:val="28"/>
                <w:lang w:val="en-US"/>
              </w:rPr>
            </w:pPr>
            <w:proofErr w:type="spellStart"/>
            <w:r w:rsidRPr="00F45EA0">
              <w:rPr>
                <w:sz w:val="28"/>
                <w:szCs w:val="28"/>
                <w:lang w:val="en-US"/>
              </w:rPr>
              <w:t>Hieu</w:t>
            </w:r>
            <w:proofErr w:type="spellEnd"/>
            <w:r w:rsidRPr="00F45EA0">
              <w:rPr>
                <w:sz w:val="28"/>
                <w:szCs w:val="28"/>
                <w:lang w:val="en-US"/>
              </w:rPr>
              <w:t xml:space="preserve"> Thai </w:t>
            </w:r>
            <w:proofErr w:type="spellStart"/>
            <w:r w:rsidRPr="00F45EA0">
              <w:rPr>
                <w:sz w:val="28"/>
                <w:szCs w:val="28"/>
                <w:lang w:val="en-US"/>
              </w:rPr>
              <w:t>Trung</w:t>
            </w:r>
            <w:proofErr w:type="spellEnd"/>
          </w:p>
        </w:tc>
      </w:tr>
      <w:tr w:rsidR="00F45EA0" w14:paraId="2F645B86" w14:textId="77777777" w:rsidTr="00F45EA0">
        <w:tc>
          <w:tcPr>
            <w:tcW w:w="4509" w:type="dxa"/>
          </w:tcPr>
          <w:p w14:paraId="7B9DA90D" w14:textId="3A6DB4BB" w:rsidR="00F45EA0" w:rsidRPr="00F45EA0" w:rsidRDefault="00F45EA0" w:rsidP="00F45EA0">
            <w:pPr>
              <w:jc w:val="center"/>
              <w:rPr>
                <w:sz w:val="28"/>
                <w:szCs w:val="28"/>
                <w:lang w:val="en-US"/>
              </w:rPr>
            </w:pPr>
            <w:r w:rsidRPr="00F45EA0">
              <w:rPr>
                <w:sz w:val="28"/>
                <w:szCs w:val="28"/>
                <w:lang w:val="en-US"/>
              </w:rPr>
              <w:t>Student’s Name</w:t>
            </w:r>
          </w:p>
        </w:tc>
        <w:tc>
          <w:tcPr>
            <w:tcW w:w="4510" w:type="dxa"/>
          </w:tcPr>
          <w:p w14:paraId="6A6B3F32" w14:textId="64872311" w:rsidR="00F45EA0" w:rsidRPr="00F45EA0" w:rsidRDefault="00F45EA0" w:rsidP="00F45EA0">
            <w:pPr>
              <w:jc w:val="center"/>
              <w:rPr>
                <w:sz w:val="28"/>
                <w:szCs w:val="28"/>
                <w:lang w:val="en-US"/>
              </w:rPr>
            </w:pPr>
            <w:r w:rsidRPr="00F45EA0">
              <w:rPr>
                <w:sz w:val="28"/>
                <w:szCs w:val="28"/>
                <w:lang w:val="en-US"/>
              </w:rPr>
              <w:t>Nguyen Huynh Quang</w:t>
            </w:r>
          </w:p>
        </w:tc>
      </w:tr>
      <w:tr w:rsidR="00F45EA0" w14:paraId="566E229F" w14:textId="77777777" w:rsidTr="00F45EA0">
        <w:tc>
          <w:tcPr>
            <w:tcW w:w="4509" w:type="dxa"/>
          </w:tcPr>
          <w:p w14:paraId="3817EEE9" w14:textId="1F7824B4" w:rsidR="00F45EA0" w:rsidRPr="00F45EA0" w:rsidRDefault="00F45EA0" w:rsidP="00F45EA0">
            <w:pPr>
              <w:jc w:val="center"/>
              <w:rPr>
                <w:sz w:val="28"/>
                <w:szCs w:val="28"/>
                <w:lang w:val="en-US"/>
              </w:rPr>
            </w:pPr>
            <w:r w:rsidRPr="00F45EA0">
              <w:rPr>
                <w:sz w:val="28"/>
                <w:szCs w:val="28"/>
                <w:lang w:val="en-US"/>
              </w:rPr>
              <w:t>Student’s ID</w:t>
            </w:r>
          </w:p>
        </w:tc>
        <w:tc>
          <w:tcPr>
            <w:tcW w:w="4510" w:type="dxa"/>
          </w:tcPr>
          <w:p w14:paraId="09352236" w14:textId="38015F5F" w:rsidR="00F45EA0" w:rsidRPr="00F45EA0" w:rsidRDefault="00F45EA0" w:rsidP="00F45EA0">
            <w:pPr>
              <w:jc w:val="center"/>
              <w:rPr>
                <w:sz w:val="28"/>
                <w:szCs w:val="28"/>
                <w:lang w:val="en-US"/>
              </w:rPr>
            </w:pPr>
            <w:r w:rsidRPr="00F45EA0">
              <w:rPr>
                <w:sz w:val="28"/>
                <w:szCs w:val="28"/>
                <w:lang w:val="en-US"/>
              </w:rPr>
              <w:t>S3927039</w:t>
            </w:r>
          </w:p>
        </w:tc>
      </w:tr>
      <w:tr w:rsidR="00F45EA0" w14:paraId="59405E60" w14:textId="77777777" w:rsidTr="00F45EA0">
        <w:tc>
          <w:tcPr>
            <w:tcW w:w="4509" w:type="dxa"/>
          </w:tcPr>
          <w:p w14:paraId="5A32FFA8" w14:textId="7072B4EF" w:rsidR="00F45EA0" w:rsidRPr="00F45EA0" w:rsidRDefault="00F45EA0" w:rsidP="00F45EA0">
            <w:pPr>
              <w:jc w:val="center"/>
              <w:rPr>
                <w:sz w:val="28"/>
                <w:szCs w:val="28"/>
                <w:lang w:val="en-US"/>
              </w:rPr>
            </w:pPr>
            <w:r w:rsidRPr="00F45EA0">
              <w:rPr>
                <w:sz w:val="28"/>
                <w:szCs w:val="28"/>
                <w:lang w:val="en-US"/>
              </w:rPr>
              <w:t>Assignment</w:t>
            </w:r>
          </w:p>
        </w:tc>
        <w:tc>
          <w:tcPr>
            <w:tcW w:w="4510" w:type="dxa"/>
          </w:tcPr>
          <w:p w14:paraId="7186BE53" w14:textId="086E7374" w:rsidR="00F45EA0" w:rsidRPr="00F45EA0" w:rsidRDefault="00F45EA0" w:rsidP="00F45EA0">
            <w:pPr>
              <w:jc w:val="center"/>
              <w:rPr>
                <w:sz w:val="28"/>
                <w:szCs w:val="28"/>
              </w:rPr>
            </w:pPr>
            <w:r w:rsidRPr="00F45EA0">
              <w:rPr>
                <w:color w:val="333333"/>
                <w:sz w:val="28"/>
                <w:szCs w:val="28"/>
                <w:shd w:val="clear" w:color="auto" w:fill="FFFFFF"/>
              </w:rPr>
              <w:t>Individual Case Study - Inferential Statistics</w:t>
            </w:r>
          </w:p>
        </w:tc>
      </w:tr>
      <w:tr w:rsidR="00F45EA0" w14:paraId="3782B8E2" w14:textId="77777777" w:rsidTr="00F45EA0">
        <w:tc>
          <w:tcPr>
            <w:tcW w:w="4509" w:type="dxa"/>
          </w:tcPr>
          <w:p w14:paraId="0BEDB821" w14:textId="1809DC48" w:rsidR="00F45EA0" w:rsidRPr="00F45EA0" w:rsidRDefault="00F45EA0" w:rsidP="00F45EA0">
            <w:pPr>
              <w:jc w:val="center"/>
              <w:rPr>
                <w:sz w:val="28"/>
                <w:szCs w:val="28"/>
                <w:lang w:val="en-US"/>
              </w:rPr>
            </w:pPr>
            <w:r w:rsidRPr="00F45EA0">
              <w:rPr>
                <w:sz w:val="28"/>
                <w:szCs w:val="28"/>
                <w:lang w:val="en-US"/>
              </w:rPr>
              <w:t>Dataset</w:t>
            </w:r>
          </w:p>
        </w:tc>
        <w:tc>
          <w:tcPr>
            <w:tcW w:w="4510" w:type="dxa"/>
          </w:tcPr>
          <w:p w14:paraId="39BD8ACD" w14:textId="5394BBBD" w:rsidR="00F45EA0" w:rsidRPr="00F45EA0" w:rsidRDefault="00F45EA0" w:rsidP="00F45EA0">
            <w:pPr>
              <w:jc w:val="center"/>
              <w:rPr>
                <w:color w:val="333333"/>
                <w:sz w:val="28"/>
                <w:szCs w:val="28"/>
                <w:shd w:val="clear" w:color="auto" w:fill="FFFFFF"/>
                <w:lang w:val="en-US"/>
              </w:rPr>
            </w:pPr>
            <w:r w:rsidRPr="00F45EA0">
              <w:rPr>
                <w:color w:val="333333"/>
                <w:sz w:val="28"/>
                <w:szCs w:val="28"/>
                <w:shd w:val="clear" w:color="auto" w:fill="FFFFFF"/>
                <w:lang w:val="en-US"/>
              </w:rPr>
              <w:t>Mortality rate neonatal – Dataset 10</w:t>
            </w:r>
          </w:p>
        </w:tc>
      </w:tr>
      <w:tr w:rsidR="00CB62A1" w14:paraId="14923CC8" w14:textId="77777777" w:rsidTr="00F45EA0">
        <w:tc>
          <w:tcPr>
            <w:tcW w:w="4509" w:type="dxa"/>
          </w:tcPr>
          <w:p w14:paraId="27E278FE" w14:textId="4F7E9712" w:rsidR="00CB62A1" w:rsidRPr="00F45EA0" w:rsidRDefault="00CB62A1" w:rsidP="00F45EA0">
            <w:pPr>
              <w:jc w:val="center"/>
              <w:rPr>
                <w:sz w:val="28"/>
                <w:szCs w:val="28"/>
                <w:lang w:val="en-US"/>
              </w:rPr>
            </w:pPr>
            <w:r>
              <w:rPr>
                <w:sz w:val="28"/>
                <w:szCs w:val="28"/>
                <w:lang w:val="en-US"/>
              </w:rPr>
              <w:t>Words count</w:t>
            </w:r>
          </w:p>
        </w:tc>
        <w:tc>
          <w:tcPr>
            <w:tcW w:w="4510" w:type="dxa"/>
          </w:tcPr>
          <w:p w14:paraId="364873E1" w14:textId="051D4EDD" w:rsidR="00CB62A1" w:rsidRPr="00F45EA0" w:rsidRDefault="00CB62A1" w:rsidP="00F45EA0">
            <w:pPr>
              <w:jc w:val="center"/>
              <w:rPr>
                <w:color w:val="333333"/>
                <w:sz w:val="28"/>
                <w:szCs w:val="28"/>
                <w:shd w:val="clear" w:color="auto" w:fill="FFFFFF"/>
                <w:lang w:val="en-US"/>
              </w:rPr>
            </w:pPr>
            <w:r>
              <w:rPr>
                <w:color w:val="333333"/>
                <w:sz w:val="28"/>
                <w:szCs w:val="28"/>
                <w:shd w:val="clear" w:color="auto" w:fill="FFFFFF"/>
                <w:lang w:val="en-US"/>
              </w:rPr>
              <w:t>2</w:t>
            </w:r>
            <w:r w:rsidR="002B519D">
              <w:rPr>
                <w:color w:val="333333"/>
                <w:sz w:val="28"/>
                <w:szCs w:val="28"/>
                <w:shd w:val="clear" w:color="auto" w:fill="FFFFFF"/>
                <w:lang w:val="en-US"/>
              </w:rPr>
              <w:t>761</w:t>
            </w:r>
          </w:p>
        </w:tc>
      </w:tr>
    </w:tbl>
    <w:p w14:paraId="604996A0" w14:textId="527951B1" w:rsidR="00290180" w:rsidRDefault="00000000">
      <w:r>
        <w:br w:type="page"/>
      </w:r>
    </w:p>
    <w:p w14:paraId="0224636D" w14:textId="77777777" w:rsidR="00290180" w:rsidRDefault="00000000">
      <w:pPr>
        <w:numPr>
          <w:ilvl w:val="0"/>
          <w:numId w:val="14"/>
        </w:numPr>
        <w:spacing w:line="360" w:lineRule="auto"/>
        <w:rPr>
          <w:sz w:val="32"/>
          <w:szCs w:val="32"/>
        </w:rPr>
      </w:pPr>
      <w:r>
        <w:rPr>
          <w:sz w:val="32"/>
          <w:szCs w:val="32"/>
        </w:rPr>
        <w:lastRenderedPageBreak/>
        <w:t>Introduction</w:t>
      </w:r>
    </w:p>
    <w:p w14:paraId="49070445" w14:textId="755CC4C6" w:rsidR="00290180" w:rsidRDefault="00000000">
      <w:pPr>
        <w:numPr>
          <w:ilvl w:val="0"/>
          <w:numId w:val="9"/>
        </w:numPr>
        <w:spacing w:line="360" w:lineRule="auto"/>
      </w:pPr>
      <w:r>
        <w:t xml:space="preserve">Neonatal mortality rate is defined as the number of </w:t>
      </w:r>
      <w:r w:rsidR="008B4949">
        <w:rPr>
          <w:lang w:val="en-US"/>
        </w:rPr>
        <w:t>newborn</w:t>
      </w:r>
      <w:r>
        <w:t xml:space="preserve"> deaths </w:t>
      </w:r>
      <w:r w:rsidR="008B4949">
        <w:rPr>
          <w:lang w:val="en-US"/>
        </w:rPr>
        <w:t xml:space="preserve">within the </w:t>
      </w:r>
      <w:r>
        <w:t>first 28 days of life per one thousand live births (WHO n.d). Birth defects are regarded to be the leading cause of newborn death</w:t>
      </w:r>
      <w:r w:rsidR="008B4949">
        <w:rPr>
          <w:lang w:val="en-US"/>
        </w:rPr>
        <w:t xml:space="preserve"> because</w:t>
      </w:r>
      <w:r>
        <w:t xml:space="preserve"> they can occur in any pregnancy. In 2020, there were 2,4 million neonatal fatalities, which is an improvement compared to 1990, when there were 5 million newborn deaths, when the rate was only half as high (WHO n.d). UNICEF reports that the first 28 days of a newborn's life are associated with a high mortality rate of 17 deaths per 1000 live births, whereas the rate drops after the first month and before the age of 1 to 9 deaths per 1000 children (UNICEF n.d). The newborn death rate reflects not only baby health, but also the nation's overall health, cleanliness, health care, nutrition, and education (World Vision, 2021).</w:t>
      </w:r>
    </w:p>
    <w:p w14:paraId="2D3BA356" w14:textId="77777777" w:rsidR="00290180" w:rsidRDefault="00290180">
      <w:pPr>
        <w:spacing w:line="360" w:lineRule="auto"/>
        <w:ind w:left="720"/>
      </w:pPr>
    </w:p>
    <w:p w14:paraId="63F5E3AC" w14:textId="545D3DED" w:rsidR="00290180" w:rsidRDefault="00000000">
      <w:pPr>
        <w:numPr>
          <w:ilvl w:val="0"/>
          <w:numId w:val="9"/>
        </w:numPr>
        <w:spacing w:line="360" w:lineRule="auto"/>
      </w:pPr>
      <w:r>
        <w:t xml:space="preserve">According to the World Health Organization, the majority of infant deaths occur in low- and middle-income countries; </w:t>
      </w:r>
      <w:r w:rsidR="008B4949">
        <w:rPr>
          <w:lang w:val="en-US"/>
        </w:rPr>
        <w:t xml:space="preserve">Africa and South Asia regions </w:t>
      </w:r>
      <w:r>
        <w:t>account for 80 percent of global infant deaths. Sierra Leone and the Central African Republic, both of which had per capita gross national incomes of $510</w:t>
      </w:r>
      <w:r w:rsidR="008B4949">
        <w:rPr>
          <w:lang w:val="en-US"/>
        </w:rPr>
        <w:t xml:space="preserve"> in 2020</w:t>
      </w:r>
      <w:r>
        <w:t xml:space="preserve">, had the highest </w:t>
      </w:r>
      <w:r w:rsidR="008B4949">
        <w:rPr>
          <w:lang w:val="en-US"/>
        </w:rPr>
        <w:t xml:space="preserve">Newborn </w:t>
      </w:r>
      <w:r>
        <w:t>Mortality Rate in 2020, with 80.10 and 77.50 deaths per 1000 live births, respectively. Meanwhile, nations with a high per capita GNI, such as Iceland and San Marino (GNI per capita: $64,410 and $40,801, respectively), had the lowest infant mortality rate, with 1.54 and 1.56 deaths per 1,000 live births, respectively (UNICEF n.d). National wealth and other social and economic factors have a substantial impact on population health (Houweling, 2005 &amp; Schell, 2007). Preston in 1975, Prichett and Summer in 1996 discovered that in low-income countries, people have limited access to medical resources and treatment, whereas in high-income countries, the healthcare system is superior, resulting in a significantly higher neonatal survival rate in developed nations than in low- and middle-income nations.</w:t>
      </w:r>
    </w:p>
    <w:p w14:paraId="6B2C179F" w14:textId="77777777" w:rsidR="00290180" w:rsidRDefault="00290180">
      <w:pPr>
        <w:spacing w:line="360" w:lineRule="auto"/>
        <w:ind w:left="720"/>
      </w:pPr>
    </w:p>
    <w:p w14:paraId="15931C4F" w14:textId="587DC9E3" w:rsidR="00290180" w:rsidRDefault="00000000">
      <w:pPr>
        <w:numPr>
          <w:ilvl w:val="0"/>
          <w:numId w:val="9"/>
        </w:numPr>
        <w:spacing w:line="360" w:lineRule="auto"/>
      </w:pPr>
      <w:r>
        <w:t xml:space="preserve">In addition to the factors listed above that influence the newborn mortality rate, there are additional socioeconomic and medical issues. In 2016, the Ethiopian Demographic and Health Survey was done and it revealed three factors that influence infant mortality. First, </w:t>
      </w:r>
      <w:r w:rsidR="00754A57">
        <w:rPr>
          <w:lang w:val="en-US"/>
        </w:rPr>
        <w:t xml:space="preserve">higher education and greater economic resources families </w:t>
      </w:r>
      <w:r>
        <w:t xml:space="preserve">are more likely to have a lower infant mortality rate than those with no formal education or only a primary education. The study also found that male births had a higher death </w:t>
      </w:r>
      <w:r>
        <w:lastRenderedPageBreak/>
        <w:t xml:space="preserve">rate than female births due to genetic and protein variations between the sexes. A study conducted in South Asia revealed that the newborn male mortality rate was 33.2/1000 live births, while the newborn female mortality rate was 27.4/1000 live births (Aghai, Z.H., Goudar, S.S., Patel, A. et al). </w:t>
      </w:r>
    </w:p>
    <w:p w14:paraId="47B1CBC1" w14:textId="77777777" w:rsidR="00290180" w:rsidRDefault="00290180">
      <w:pPr>
        <w:spacing w:line="360" w:lineRule="auto"/>
        <w:ind w:left="720"/>
      </w:pPr>
    </w:p>
    <w:p w14:paraId="0AE288C7" w14:textId="77777777" w:rsidR="00290180" w:rsidRDefault="00000000">
      <w:pPr>
        <w:numPr>
          <w:ilvl w:val="0"/>
          <w:numId w:val="14"/>
        </w:numPr>
        <w:spacing w:line="360" w:lineRule="auto"/>
        <w:rPr>
          <w:sz w:val="32"/>
          <w:szCs w:val="32"/>
        </w:rPr>
      </w:pPr>
      <w:r>
        <w:rPr>
          <w:sz w:val="32"/>
          <w:szCs w:val="32"/>
        </w:rPr>
        <w:t xml:space="preserve">Descriptive statistic and probability </w:t>
      </w:r>
    </w:p>
    <w:p w14:paraId="2FA5EFB8" w14:textId="77777777" w:rsidR="00290180" w:rsidRDefault="00000000">
      <w:pPr>
        <w:numPr>
          <w:ilvl w:val="0"/>
          <w:numId w:val="25"/>
        </w:numPr>
        <w:spacing w:line="360" w:lineRule="auto"/>
        <w:rPr>
          <w:sz w:val="28"/>
          <w:szCs w:val="28"/>
        </w:rPr>
      </w:pPr>
      <w:r>
        <w:rPr>
          <w:sz w:val="28"/>
          <w:szCs w:val="28"/>
        </w:rPr>
        <w:t xml:space="preserve">Probability </w:t>
      </w:r>
    </w:p>
    <w:p w14:paraId="0BEA2CE1" w14:textId="77777777" w:rsidR="00290180" w:rsidRDefault="00000000">
      <w:pPr>
        <w:numPr>
          <w:ilvl w:val="0"/>
          <w:numId w:val="2"/>
        </w:numPr>
        <w:spacing w:line="360" w:lineRule="auto"/>
      </w:pPr>
      <w:r>
        <w:t>In the presented data sample of 28 nations, the number of countries is divided in different groups according to GNI (Table 1). The neonatal death rate is also categorised into two groups (Table 2). The conventional value for classifying a newborn death rate as low or high is 15,00.</w:t>
      </w:r>
    </w:p>
    <w:p w14:paraId="31C86EB5" w14:textId="77777777" w:rsidR="00290180" w:rsidRDefault="00290180">
      <w:pPr>
        <w:spacing w:line="360" w:lineRule="auto"/>
        <w:ind w:left="720"/>
      </w:pPr>
    </w:p>
    <w:tbl>
      <w:tblPr>
        <w:tblStyle w:val="a5"/>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4800"/>
      </w:tblGrid>
      <w:tr w:rsidR="00290180" w14:paraId="4FDE8C06" w14:textId="77777777">
        <w:tc>
          <w:tcPr>
            <w:tcW w:w="3480" w:type="dxa"/>
            <w:shd w:val="clear" w:color="auto" w:fill="9FC5E8"/>
            <w:tcMar>
              <w:top w:w="100" w:type="dxa"/>
              <w:left w:w="100" w:type="dxa"/>
              <w:bottom w:w="100" w:type="dxa"/>
              <w:right w:w="100" w:type="dxa"/>
            </w:tcMar>
          </w:tcPr>
          <w:p w14:paraId="714BEDB8" w14:textId="77777777" w:rsidR="00290180" w:rsidRDefault="00000000">
            <w:pPr>
              <w:widowControl w:val="0"/>
              <w:pBdr>
                <w:top w:val="nil"/>
                <w:left w:val="nil"/>
                <w:bottom w:val="nil"/>
                <w:right w:val="nil"/>
                <w:between w:val="nil"/>
              </w:pBdr>
            </w:pPr>
            <w:r>
              <w:t>Low - Income Countries (LI)</w:t>
            </w:r>
          </w:p>
        </w:tc>
        <w:tc>
          <w:tcPr>
            <w:tcW w:w="4800" w:type="dxa"/>
            <w:shd w:val="clear" w:color="auto" w:fill="FFF2CC"/>
            <w:tcMar>
              <w:top w:w="100" w:type="dxa"/>
              <w:left w:w="100" w:type="dxa"/>
              <w:bottom w:w="100" w:type="dxa"/>
              <w:right w:w="100" w:type="dxa"/>
            </w:tcMar>
          </w:tcPr>
          <w:p w14:paraId="08EB8F21" w14:textId="77777777" w:rsidR="00290180" w:rsidRDefault="00000000">
            <w:pPr>
              <w:widowControl w:val="0"/>
              <w:pBdr>
                <w:top w:val="nil"/>
                <w:left w:val="nil"/>
                <w:bottom w:val="nil"/>
                <w:right w:val="nil"/>
                <w:between w:val="nil"/>
              </w:pBdr>
            </w:pPr>
            <w:r>
              <w:t>GNI per capita: less than US$1000</w:t>
            </w:r>
          </w:p>
        </w:tc>
      </w:tr>
      <w:tr w:rsidR="00290180" w14:paraId="673C2C43" w14:textId="77777777">
        <w:tc>
          <w:tcPr>
            <w:tcW w:w="3480" w:type="dxa"/>
            <w:shd w:val="clear" w:color="auto" w:fill="9FC5E8"/>
            <w:tcMar>
              <w:top w:w="100" w:type="dxa"/>
              <w:left w:w="100" w:type="dxa"/>
              <w:bottom w:w="100" w:type="dxa"/>
              <w:right w:w="100" w:type="dxa"/>
            </w:tcMar>
          </w:tcPr>
          <w:p w14:paraId="27AEB45F" w14:textId="77777777" w:rsidR="00290180" w:rsidRDefault="00000000">
            <w:pPr>
              <w:widowControl w:val="0"/>
              <w:pBdr>
                <w:top w:val="nil"/>
                <w:left w:val="nil"/>
                <w:bottom w:val="nil"/>
                <w:right w:val="nil"/>
                <w:between w:val="nil"/>
              </w:pBdr>
            </w:pPr>
            <w:r>
              <w:t>Middle - Income Countries (MI)</w:t>
            </w:r>
          </w:p>
        </w:tc>
        <w:tc>
          <w:tcPr>
            <w:tcW w:w="4800" w:type="dxa"/>
            <w:shd w:val="clear" w:color="auto" w:fill="FFF2CC"/>
            <w:tcMar>
              <w:top w:w="100" w:type="dxa"/>
              <w:left w:w="100" w:type="dxa"/>
              <w:bottom w:w="100" w:type="dxa"/>
              <w:right w:w="100" w:type="dxa"/>
            </w:tcMar>
          </w:tcPr>
          <w:p w14:paraId="744A7374" w14:textId="77777777" w:rsidR="00290180" w:rsidRDefault="00000000">
            <w:pPr>
              <w:widowControl w:val="0"/>
              <w:pBdr>
                <w:top w:val="nil"/>
                <w:left w:val="nil"/>
                <w:bottom w:val="nil"/>
                <w:right w:val="nil"/>
                <w:between w:val="nil"/>
              </w:pBdr>
            </w:pPr>
            <w:r>
              <w:t>GNI per capita: between US$1000 and  US$12,500</w:t>
            </w:r>
          </w:p>
        </w:tc>
      </w:tr>
      <w:tr w:rsidR="00290180" w14:paraId="6B5BD601" w14:textId="77777777">
        <w:tc>
          <w:tcPr>
            <w:tcW w:w="3480" w:type="dxa"/>
            <w:shd w:val="clear" w:color="auto" w:fill="9FC5E8"/>
            <w:tcMar>
              <w:top w:w="100" w:type="dxa"/>
              <w:left w:w="100" w:type="dxa"/>
              <w:bottom w:w="100" w:type="dxa"/>
              <w:right w:w="100" w:type="dxa"/>
            </w:tcMar>
          </w:tcPr>
          <w:p w14:paraId="0A7B01C0" w14:textId="77777777" w:rsidR="00290180" w:rsidRDefault="00000000">
            <w:pPr>
              <w:widowControl w:val="0"/>
              <w:pBdr>
                <w:top w:val="nil"/>
                <w:left w:val="nil"/>
                <w:bottom w:val="nil"/>
                <w:right w:val="nil"/>
                <w:between w:val="nil"/>
              </w:pBdr>
            </w:pPr>
            <w:r>
              <w:t xml:space="preserve">High - Income Countries (HI) </w:t>
            </w:r>
          </w:p>
        </w:tc>
        <w:tc>
          <w:tcPr>
            <w:tcW w:w="4800" w:type="dxa"/>
            <w:shd w:val="clear" w:color="auto" w:fill="FFF2CC"/>
            <w:tcMar>
              <w:top w:w="100" w:type="dxa"/>
              <w:left w:w="100" w:type="dxa"/>
              <w:bottom w:w="100" w:type="dxa"/>
              <w:right w:w="100" w:type="dxa"/>
            </w:tcMar>
          </w:tcPr>
          <w:p w14:paraId="2BFEDC72" w14:textId="77777777" w:rsidR="00290180" w:rsidRDefault="00000000">
            <w:pPr>
              <w:widowControl w:val="0"/>
              <w:pBdr>
                <w:top w:val="nil"/>
                <w:left w:val="nil"/>
                <w:bottom w:val="nil"/>
                <w:right w:val="nil"/>
                <w:between w:val="nil"/>
              </w:pBdr>
            </w:pPr>
            <w:r>
              <w:t>GNI per capita: more than US$12,500</w:t>
            </w:r>
          </w:p>
        </w:tc>
      </w:tr>
    </w:tbl>
    <w:p w14:paraId="3D2DE757" w14:textId="77777777" w:rsidR="00290180" w:rsidRDefault="00000000">
      <w:pPr>
        <w:spacing w:line="360" w:lineRule="auto"/>
        <w:ind w:left="720"/>
        <w:jc w:val="center"/>
      </w:pPr>
      <w:r>
        <w:tab/>
      </w:r>
      <w:r>
        <w:rPr>
          <w:b/>
          <w:i/>
        </w:rPr>
        <w:t xml:space="preserve">Table 1: </w:t>
      </w:r>
      <w:r>
        <w:t>Level of national income based on GNI.</w:t>
      </w:r>
    </w:p>
    <w:p w14:paraId="2510BB91" w14:textId="77777777" w:rsidR="00290180" w:rsidRDefault="00290180">
      <w:pPr>
        <w:spacing w:line="360" w:lineRule="auto"/>
        <w:ind w:left="720"/>
      </w:pPr>
    </w:p>
    <w:tbl>
      <w:tblPr>
        <w:tblStyle w:val="a6"/>
        <w:tblW w:w="9025" w:type="dxa"/>
        <w:tblBorders>
          <w:top w:val="nil"/>
          <w:left w:val="nil"/>
          <w:bottom w:val="nil"/>
          <w:right w:val="nil"/>
          <w:insideH w:val="nil"/>
          <w:insideV w:val="nil"/>
        </w:tblBorders>
        <w:tblLayout w:type="fixed"/>
        <w:tblLook w:val="0600" w:firstRow="0" w:lastRow="0" w:firstColumn="0" w:lastColumn="0" w:noHBand="1" w:noVBand="1"/>
      </w:tblPr>
      <w:tblGrid>
        <w:gridCol w:w="2266"/>
        <w:gridCol w:w="2663"/>
        <w:gridCol w:w="2731"/>
        <w:gridCol w:w="1365"/>
      </w:tblGrid>
      <w:tr w:rsidR="00290180" w14:paraId="0458F033" w14:textId="77777777">
        <w:trPr>
          <w:trHeight w:val="409"/>
        </w:trPr>
        <w:tc>
          <w:tcPr>
            <w:tcW w:w="2266" w:type="dxa"/>
            <w:tcBorders>
              <w:top w:val="single" w:sz="6" w:space="0" w:color="000000"/>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bottom"/>
          </w:tcPr>
          <w:p w14:paraId="0DF85DAE" w14:textId="77777777" w:rsidR="00290180" w:rsidRDefault="00290180">
            <w:pPr>
              <w:widowControl w:val="0"/>
              <w:jc w:val="center"/>
              <w:rPr>
                <w:sz w:val="20"/>
                <w:szCs w:val="20"/>
              </w:rPr>
            </w:pPr>
          </w:p>
        </w:tc>
        <w:tc>
          <w:tcPr>
            <w:tcW w:w="2663" w:type="dxa"/>
            <w:tcBorders>
              <w:top w:val="single" w:sz="6" w:space="0" w:color="000000"/>
              <w:left w:val="single" w:sz="6" w:space="0" w:color="CCCCCC"/>
              <w:bottom w:val="single" w:sz="6" w:space="0" w:color="000000"/>
              <w:right w:val="single" w:sz="6" w:space="0" w:color="000000"/>
            </w:tcBorders>
            <w:shd w:val="clear" w:color="auto" w:fill="9FC5E8"/>
            <w:tcMar>
              <w:top w:w="40" w:type="dxa"/>
              <w:left w:w="40" w:type="dxa"/>
              <w:bottom w:w="40" w:type="dxa"/>
              <w:right w:w="40" w:type="dxa"/>
            </w:tcMar>
            <w:vAlign w:val="bottom"/>
          </w:tcPr>
          <w:p w14:paraId="0C2E91F0" w14:textId="77777777" w:rsidR="00290180" w:rsidRDefault="00000000">
            <w:pPr>
              <w:widowControl w:val="0"/>
              <w:jc w:val="center"/>
              <w:rPr>
                <w:sz w:val="20"/>
                <w:szCs w:val="20"/>
              </w:rPr>
            </w:pPr>
            <w:r>
              <w:t>Low NMR (L)</w:t>
            </w:r>
          </w:p>
        </w:tc>
        <w:tc>
          <w:tcPr>
            <w:tcW w:w="2731" w:type="dxa"/>
            <w:tcBorders>
              <w:top w:val="single" w:sz="6" w:space="0" w:color="000000"/>
              <w:left w:val="single" w:sz="6" w:space="0" w:color="CCCCCC"/>
              <w:bottom w:val="single" w:sz="6" w:space="0" w:color="000000"/>
              <w:right w:val="single" w:sz="6" w:space="0" w:color="000000"/>
            </w:tcBorders>
            <w:shd w:val="clear" w:color="auto" w:fill="9FC5E8"/>
            <w:tcMar>
              <w:top w:w="40" w:type="dxa"/>
              <w:left w:w="40" w:type="dxa"/>
              <w:bottom w:w="40" w:type="dxa"/>
              <w:right w:w="40" w:type="dxa"/>
            </w:tcMar>
            <w:vAlign w:val="bottom"/>
          </w:tcPr>
          <w:p w14:paraId="71A160BA" w14:textId="77777777" w:rsidR="00290180" w:rsidRDefault="00000000">
            <w:pPr>
              <w:widowControl w:val="0"/>
              <w:jc w:val="center"/>
              <w:rPr>
                <w:sz w:val="20"/>
                <w:szCs w:val="20"/>
              </w:rPr>
            </w:pPr>
            <w:r>
              <w:t>High NMR (H)</w:t>
            </w:r>
          </w:p>
        </w:tc>
        <w:tc>
          <w:tcPr>
            <w:tcW w:w="1365" w:type="dxa"/>
            <w:tcBorders>
              <w:top w:val="single" w:sz="6" w:space="0" w:color="000000"/>
              <w:left w:val="single" w:sz="6" w:space="0" w:color="CCCCCC"/>
              <w:bottom w:val="single" w:sz="6" w:space="0" w:color="000000"/>
              <w:right w:val="single" w:sz="6" w:space="0" w:color="000000"/>
            </w:tcBorders>
            <w:shd w:val="clear" w:color="auto" w:fill="9FC5E8"/>
            <w:tcMar>
              <w:top w:w="40" w:type="dxa"/>
              <w:left w:w="40" w:type="dxa"/>
              <w:bottom w:w="40" w:type="dxa"/>
              <w:right w:w="40" w:type="dxa"/>
            </w:tcMar>
            <w:vAlign w:val="bottom"/>
          </w:tcPr>
          <w:p w14:paraId="5708B6C8" w14:textId="77777777" w:rsidR="00290180" w:rsidRDefault="00000000">
            <w:pPr>
              <w:widowControl w:val="0"/>
              <w:jc w:val="center"/>
              <w:rPr>
                <w:sz w:val="20"/>
                <w:szCs w:val="20"/>
              </w:rPr>
            </w:pPr>
            <w:r>
              <w:t>Total (X)</w:t>
            </w:r>
          </w:p>
        </w:tc>
      </w:tr>
      <w:tr w:rsidR="00290180" w14:paraId="4808D2F4" w14:textId="77777777">
        <w:trPr>
          <w:trHeight w:val="728"/>
        </w:trPr>
        <w:tc>
          <w:tcPr>
            <w:tcW w:w="2266" w:type="dxa"/>
            <w:tcBorders>
              <w:top w:val="single" w:sz="6" w:space="0" w:color="CCCCCC"/>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tcPr>
          <w:p w14:paraId="63038A53" w14:textId="77777777" w:rsidR="00290180" w:rsidRDefault="00000000">
            <w:pPr>
              <w:widowControl w:val="0"/>
              <w:jc w:val="center"/>
              <w:rPr>
                <w:sz w:val="20"/>
                <w:szCs w:val="20"/>
              </w:rPr>
            </w:pPr>
            <w:r>
              <w:t>Low-Income Countries (LI)</w:t>
            </w:r>
          </w:p>
        </w:tc>
        <w:tc>
          <w:tcPr>
            <w:tcW w:w="266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9DE7C07" w14:textId="77777777" w:rsidR="00290180" w:rsidRDefault="00000000">
            <w:pPr>
              <w:widowControl w:val="0"/>
              <w:jc w:val="center"/>
              <w:rPr>
                <w:sz w:val="20"/>
                <w:szCs w:val="20"/>
              </w:rPr>
            </w:pPr>
            <w:r>
              <w:t>0</w:t>
            </w:r>
          </w:p>
        </w:tc>
        <w:tc>
          <w:tcPr>
            <w:tcW w:w="273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748E546" w14:textId="77777777" w:rsidR="00290180" w:rsidRDefault="00000000">
            <w:pPr>
              <w:widowControl w:val="0"/>
              <w:jc w:val="center"/>
              <w:rPr>
                <w:sz w:val="20"/>
                <w:szCs w:val="20"/>
              </w:rPr>
            </w:pPr>
            <w:r>
              <w:t>5</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29061E9" w14:textId="77777777" w:rsidR="00290180" w:rsidRDefault="00000000">
            <w:pPr>
              <w:widowControl w:val="0"/>
              <w:jc w:val="center"/>
              <w:rPr>
                <w:sz w:val="20"/>
                <w:szCs w:val="20"/>
              </w:rPr>
            </w:pPr>
            <w:r>
              <w:t>5</w:t>
            </w:r>
          </w:p>
        </w:tc>
      </w:tr>
      <w:tr w:rsidR="00290180" w14:paraId="090117E8" w14:textId="77777777">
        <w:trPr>
          <w:trHeight w:val="728"/>
        </w:trPr>
        <w:tc>
          <w:tcPr>
            <w:tcW w:w="2266" w:type="dxa"/>
            <w:tcBorders>
              <w:top w:val="single" w:sz="6" w:space="0" w:color="CCCCCC"/>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tcPr>
          <w:p w14:paraId="1591B408" w14:textId="77777777" w:rsidR="00290180" w:rsidRDefault="00000000">
            <w:pPr>
              <w:widowControl w:val="0"/>
              <w:jc w:val="center"/>
              <w:rPr>
                <w:sz w:val="20"/>
                <w:szCs w:val="20"/>
              </w:rPr>
            </w:pPr>
            <w:r>
              <w:t>Middle-Income Countries (MI)</w:t>
            </w:r>
          </w:p>
        </w:tc>
        <w:tc>
          <w:tcPr>
            <w:tcW w:w="266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B46522" w14:textId="77777777" w:rsidR="00290180" w:rsidRDefault="00000000">
            <w:pPr>
              <w:widowControl w:val="0"/>
              <w:jc w:val="center"/>
              <w:rPr>
                <w:sz w:val="20"/>
                <w:szCs w:val="20"/>
              </w:rPr>
            </w:pPr>
            <w:r>
              <w:t>9</w:t>
            </w:r>
          </w:p>
        </w:tc>
        <w:tc>
          <w:tcPr>
            <w:tcW w:w="273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098951A" w14:textId="77777777" w:rsidR="00290180" w:rsidRDefault="00000000">
            <w:pPr>
              <w:widowControl w:val="0"/>
              <w:jc w:val="center"/>
              <w:rPr>
                <w:sz w:val="20"/>
                <w:szCs w:val="20"/>
              </w:rPr>
            </w:pPr>
            <w:r>
              <w:t>4</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89CF8CA" w14:textId="77777777" w:rsidR="00290180" w:rsidRDefault="00000000">
            <w:pPr>
              <w:widowControl w:val="0"/>
              <w:jc w:val="center"/>
              <w:rPr>
                <w:sz w:val="20"/>
                <w:szCs w:val="20"/>
              </w:rPr>
            </w:pPr>
            <w:r>
              <w:t>13</w:t>
            </w:r>
          </w:p>
        </w:tc>
      </w:tr>
      <w:tr w:rsidR="00290180" w14:paraId="62CEB1E1" w14:textId="77777777">
        <w:trPr>
          <w:trHeight w:val="728"/>
        </w:trPr>
        <w:tc>
          <w:tcPr>
            <w:tcW w:w="2266" w:type="dxa"/>
            <w:tcBorders>
              <w:top w:val="single" w:sz="6" w:space="0" w:color="CCCCCC"/>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tcPr>
          <w:p w14:paraId="09FECD71" w14:textId="77777777" w:rsidR="00290180" w:rsidRDefault="00000000">
            <w:pPr>
              <w:widowControl w:val="0"/>
              <w:jc w:val="center"/>
              <w:rPr>
                <w:sz w:val="20"/>
                <w:szCs w:val="20"/>
              </w:rPr>
            </w:pPr>
            <w:r>
              <w:t>High-Income Countries (HI)</w:t>
            </w:r>
          </w:p>
        </w:tc>
        <w:tc>
          <w:tcPr>
            <w:tcW w:w="266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F1C1755" w14:textId="77777777" w:rsidR="00290180" w:rsidRDefault="00000000">
            <w:pPr>
              <w:widowControl w:val="0"/>
              <w:jc w:val="center"/>
              <w:rPr>
                <w:sz w:val="20"/>
                <w:szCs w:val="20"/>
              </w:rPr>
            </w:pPr>
            <w:r>
              <w:t>5</w:t>
            </w:r>
          </w:p>
        </w:tc>
        <w:tc>
          <w:tcPr>
            <w:tcW w:w="273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3B7E2F5" w14:textId="77777777" w:rsidR="00290180" w:rsidRDefault="00000000">
            <w:pPr>
              <w:widowControl w:val="0"/>
              <w:jc w:val="center"/>
              <w:rPr>
                <w:sz w:val="20"/>
                <w:szCs w:val="20"/>
              </w:rPr>
            </w:pPr>
            <w:r>
              <w:t>0</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8AAAFF" w14:textId="77777777" w:rsidR="00290180" w:rsidRDefault="00000000">
            <w:pPr>
              <w:widowControl w:val="0"/>
              <w:jc w:val="center"/>
              <w:rPr>
                <w:sz w:val="20"/>
                <w:szCs w:val="20"/>
              </w:rPr>
            </w:pPr>
            <w:r>
              <w:t>5</w:t>
            </w:r>
          </w:p>
        </w:tc>
      </w:tr>
      <w:tr w:rsidR="00290180" w14:paraId="352AA6BF" w14:textId="77777777">
        <w:trPr>
          <w:trHeight w:val="409"/>
        </w:trPr>
        <w:tc>
          <w:tcPr>
            <w:tcW w:w="2266" w:type="dxa"/>
            <w:tcBorders>
              <w:top w:val="single" w:sz="6" w:space="0" w:color="CCCCCC"/>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tcPr>
          <w:p w14:paraId="2E8AFC40" w14:textId="77777777" w:rsidR="00290180" w:rsidRDefault="00000000">
            <w:pPr>
              <w:widowControl w:val="0"/>
              <w:jc w:val="center"/>
              <w:rPr>
                <w:sz w:val="20"/>
                <w:szCs w:val="20"/>
              </w:rPr>
            </w:pPr>
            <w:r>
              <w:t>Total</w:t>
            </w:r>
          </w:p>
        </w:tc>
        <w:tc>
          <w:tcPr>
            <w:tcW w:w="2663"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4FBFDB1" w14:textId="77777777" w:rsidR="00290180" w:rsidRDefault="00000000">
            <w:pPr>
              <w:widowControl w:val="0"/>
              <w:jc w:val="center"/>
              <w:rPr>
                <w:sz w:val="20"/>
                <w:szCs w:val="20"/>
              </w:rPr>
            </w:pPr>
            <w:r>
              <w:t>14</w:t>
            </w:r>
          </w:p>
        </w:tc>
        <w:tc>
          <w:tcPr>
            <w:tcW w:w="273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2402BFD" w14:textId="77777777" w:rsidR="00290180" w:rsidRDefault="00000000">
            <w:pPr>
              <w:widowControl w:val="0"/>
              <w:jc w:val="center"/>
              <w:rPr>
                <w:sz w:val="20"/>
                <w:szCs w:val="20"/>
              </w:rPr>
            </w:pPr>
            <w:r>
              <w:t>9</w:t>
            </w:r>
          </w:p>
        </w:tc>
        <w:tc>
          <w:tcPr>
            <w:tcW w:w="13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2E48E0F" w14:textId="77777777" w:rsidR="00290180" w:rsidRDefault="00000000">
            <w:pPr>
              <w:widowControl w:val="0"/>
              <w:jc w:val="center"/>
              <w:rPr>
                <w:sz w:val="20"/>
                <w:szCs w:val="20"/>
              </w:rPr>
            </w:pPr>
            <w:r>
              <w:t>23</w:t>
            </w:r>
          </w:p>
        </w:tc>
      </w:tr>
    </w:tbl>
    <w:p w14:paraId="404BCA4C" w14:textId="77777777" w:rsidR="00290180" w:rsidRDefault="00000000">
      <w:pPr>
        <w:spacing w:line="360" w:lineRule="auto"/>
        <w:ind w:left="720"/>
        <w:jc w:val="center"/>
      </w:pPr>
      <w:r>
        <w:rPr>
          <w:b/>
          <w:i/>
        </w:rPr>
        <w:t xml:space="preserve">Table 2: </w:t>
      </w:r>
      <w:r>
        <w:t>Cognitency table for each level of national income and neonatal mortality. rate (number of deaths per 100 live births) in 2017</w:t>
      </w:r>
    </w:p>
    <w:p w14:paraId="369CA871" w14:textId="42D9F297" w:rsidR="00290180" w:rsidRDefault="00000000">
      <w:pPr>
        <w:numPr>
          <w:ilvl w:val="0"/>
          <w:numId w:val="6"/>
        </w:numPr>
        <w:spacing w:line="360" w:lineRule="auto"/>
      </w:pPr>
      <w:r>
        <w:t xml:space="preserve">In theory, two events A and B are independent when event A occurs but have no effect on the probability of event B. In mathematic, the way to express independent events is: </w:t>
      </w:r>
      <m:oMath>
        <m:r>
          <w:rPr>
            <w:rFonts w:ascii="Cambria Math" w:hAnsi="Cambria Math"/>
          </w:rPr>
          <m:t>P(A|B ) = P(A)</m:t>
        </m:r>
      </m:oMath>
      <w:r>
        <w:t xml:space="preserve"> or</w:t>
      </w:r>
      <w:r w:rsidR="00754A57">
        <w:rPr>
          <w:lang w:val="en-US"/>
        </w:rPr>
        <w:t xml:space="preserve"> </w:t>
      </w:r>
      <m:oMath>
        <m:r>
          <w:rPr>
            <w:rFonts w:ascii="Cambria Math" w:hAnsi="Cambria Math"/>
          </w:rPr>
          <m:t xml:space="preserve">P(A and B)=P(A∩B) = P(A) × P(B) </m:t>
        </m:r>
      </m:oMath>
      <w:r>
        <w:t xml:space="preserve">(UC Berkeley). In this scenario, it is a comparison between the probability of high neonatal </w:t>
      </w:r>
      <w:r>
        <w:lastRenderedPageBreak/>
        <w:t xml:space="preserve">mortality rate P(H) and the </w:t>
      </w:r>
      <w:r w:rsidR="00754A57">
        <w:rPr>
          <w:lang w:val="en-US"/>
        </w:rPr>
        <w:t xml:space="preserve">probability </w:t>
      </w:r>
      <w:r>
        <w:t xml:space="preserve">of </w:t>
      </w:r>
      <w:r w:rsidR="00754A57">
        <w:rPr>
          <w:lang w:val="en-US"/>
        </w:rPr>
        <w:t xml:space="preserve">number of </w:t>
      </w:r>
      <w:r>
        <w:t>countries having high neonatal mortality rate and high GNI per capita P(H|HI).</w:t>
      </w:r>
    </w:p>
    <w:p w14:paraId="32F6C0EE" w14:textId="77777777" w:rsidR="00290180" w:rsidRDefault="00000000">
      <w:pPr>
        <w:numPr>
          <w:ilvl w:val="0"/>
          <w:numId w:val="10"/>
        </w:numPr>
        <w:spacing w:line="360" w:lineRule="auto"/>
      </w:pPr>
      <w:r>
        <w:t xml:space="preserve">High-Income Countries: </w:t>
      </w:r>
    </w:p>
    <w:p w14:paraId="3F54480C" w14:textId="77777777" w:rsidR="00290180" w:rsidRDefault="00000000">
      <w:pPr>
        <w:jc w:val="center"/>
      </w:pPr>
      <m:oMathPara>
        <m:oMath>
          <m:r>
            <w:rPr>
              <w:rFonts w:ascii="Cambria Math" w:hAnsi="Cambria Math"/>
            </w:rPr>
            <m:t>→ P(H)=</m:t>
          </m:r>
          <m:f>
            <m:fPr>
              <m:ctrlPr>
                <w:rPr>
                  <w:rFonts w:ascii="Cambria Math" w:hAnsi="Cambria Math"/>
                </w:rPr>
              </m:ctrlPr>
            </m:fPr>
            <m:num>
              <m:r>
                <w:rPr>
                  <w:rFonts w:ascii="Cambria Math" w:hAnsi="Cambria Math"/>
                </w:rPr>
                <m:t>ΣH</m:t>
              </m:r>
            </m:num>
            <m:den>
              <m:r>
                <w:rPr>
                  <w:rFonts w:ascii="Cambria Math" w:hAnsi="Cambria Math"/>
                </w:rPr>
                <m:t>ΣX</m:t>
              </m:r>
            </m:den>
          </m:f>
          <m:r>
            <w:rPr>
              <w:rFonts w:ascii="Cambria Math" w:hAnsi="Cambria Math"/>
            </w:rPr>
            <m:t xml:space="preserve"> = </m:t>
          </m:r>
          <m:f>
            <m:fPr>
              <m:ctrlPr>
                <w:rPr>
                  <w:rFonts w:ascii="Cambria Math" w:hAnsi="Cambria Math"/>
                </w:rPr>
              </m:ctrlPr>
            </m:fPr>
            <m:num>
              <m:r>
                <w:rPr>
                  <w:rFonts w:ascii="Cambria Math" w:hAnsi="Cambria Math"/>
                </w:rPr>
                <m:t>0</m:t>
              </m:r>
            </m:num>
            <m:den>
              <m:r>
                <w:rPr>
                  <w:rFonts w:ascii="Cambria Math" w:hAnsi="Cambria Math"/>
                </w:rPr>
                <m:t>23</m:t>
              </m:r>
            </m:den>
          </m:f>
          <m:r>
            <w:rPr>
              <w:rFonts w:ascii="Cambria Math" w:hAnsi="Cambria Math"/>
            </w:rPr>
            <m:t xml:space="preserve"> =0</m:t>
          </m:r>
        </m:oMath>
      </m:oMathPara>
    </w:p>
    <w:p w14:paraId="1F5CC92E" w14:textId="77777777" w:rsidR="00290180" w:rsidRDefault="00000000">
      <w:pPr>
        <w:jc w:val="center"/>
      </w:pPr>
      <m:oMathPara>
        <m:oMath>
          <m:r>
            <w:rPr>
              <w:rFonts w:ascii="Cambria Math" w:hAnsi="Cambria Math"/>
            </w:rPr>
            <m:t xml:space="preserve">P(HI) = </m:t>
          </m:r>
          <m:f>
            <m:fPr>
              <m:ctrlPr>
                <w:rPr>
                  <w:rFonts w:ascii="Cambria Math" w:hAnsi="Cambria Math"/>
                </w:rPr>
              </m:ctrlPr>
            </m:fPr>
            <m:num>
              <m:r>
                <w:rPr>
                  <w:rFonts w:ascii="Cambria Math" w:hAnsi="Cambria Math"/>
                </w:rPr>
                <m:t>ΣHI</m:t>
              </m:r>
            </m:num>
            <m:den>
              <m:r>
                <w:rPr>
                  <w:rFonts w:ascii="Cambria Math" w:hAnsi="Cambria Math"/>
                </w:rPr>
                <m:t>ΣX</m:t>
              </m:r>
            </m:den>
          </m:f>
          <m:r>
            <w:rPr>
              <w:rFonts w:ascii="Cambria Math" w:hAnsi="Cambria Math"/>
            </w:rPr>
            <m:t xml:space="preserve"> = </m:t>
          </m:r>
          <m:f>
            <m:fPr>
              <m:ctrlPr>
                <w:rPr>
                  <w:rFonts w:ascii="Cambria Math" w:hAnsi="Cambria Math"/>
                </w:rPr>
              </m:ctrlPr>
            </m:fPr>
            <m:num>
              <m:r>
                <w:rPr>
                  <w:rFonts w:ascii="Cambria Math" w:hAnsi="Cambria Math"/>
                </w:rPr>
                <m:t>5</m:t>
              </m:r>
            </m:num>
            <m:den>
              <m:r>
                <w:rPr>
                  <w:rFonts w:ascii="Cambria Math" w:hAnsi="Cambria Math"/>
                </w:rPr>
                <m:t>23</m:t>
              </m:r>
            </m:den>
          </m:f>
        </m:oMath>
      </m:oMathPara>
    </w:p>
    <w:p w14:paraId="459EB4DD" w14:textId="77777777" w:rsidR="00290180" w:rsidRDefault="00000000">
      <w:pPr>
        <w:jc w:val="center"/>
      </w:pPr>
      <m:oMathPara>
        <m:oMath>
          <m:r>
            <w:rPr>
              <w:rFonts w:ascii="Cambria Math" w:hAnsi="Cambria Math"/>
            </w:rPr>
            <m:t xml:space="preserve">P(H and HI) = </m:t>
          </m:r>
          <m:f>
            <m:fPr>
              <m:ctrlPr>
                <w:rPr>
                  <w:rFonts w:ascii="Cambria Math" w:hAnsi="Cambria Math"/>
                </w:rPr>
              </m:ctrlPr>
            </m:fPr>
            <m:num>
              <m:r>
                <w:rPr>
                  <w:rFonts w:ascii="Cambria Math" w:hAnsi="Cambria Math"/>
                </w:rPr>
                <m:t>ΣH and HI</m:t>
              </m:r>
            </m:num>
            <m:den>
              <m:r>
                <w:rPr>
                  <w:rFonts w:ascii="Cambria Math" w:hAnsi="Cambria Math"/>
                </w:rPr>
                <m:t>ΣX</m:t>
              </m:r>
            </m:den>
          </m:f>
          <m:r>
            <w:rPr>
              <w:rFonts w:ascii="Cambria Math" w:hAnsi="Cambria Math"/>
            </w:rPr>
            <m:t xml:space="preserve"> = </m:t>
          </m:r>
          <m:f>
            <m:fPr>
              <m:ctrlPr>
                <w:rPr>
                  <w:rFonts w:ascii="Cambria Math" w:hAnsi="Cambria Math"/>
                </w:rPr>
              </m:ctrlPr>
            </m:fPr>
            <m:num>
              <m:r>
                <w:rPr>
                  <w:rFonts w:ascii="Cambria Math" w:hAnsi="Cambria Math"/>
                </w:rPr>
                <m:t>0</m:t>
              </m:r>
            </m:num>
            <m:den>
              <m:r>
                <w:rPr>
                  <w:rFonts w:ascii="Cambria Math" w:hAnsi="Cambria Math"/>
                </w:rPr>
                <m:t>23</m:t>
              </m:r>
            </m:den>
          </m:f>
          <m:r>
            <w:rPr>
              <w:rFonts w:ascii="Cambria Math" w:hAnsi="Cambria Math"/>
            </w:rPr>
            <m:t xml:space="preserve"> = 0</m:t>
          </m:r>
        </m:oMath>
      </m:oMathPara>
    </w:p>
    <w:p w14:paraId="748D633D" w14:textId="77777777" w:rsidR="00290180" w:rsidRDefault="00000000">
      <w:pPr>
        <w:spacing w:line="360" w:lineRule="auto"/>
        <w:ind w:left="1440"/>
      </w:pPr>
      <m:oMath>
        <m:r>
          <w:rPr>
            <w:rFonts w:ascii="Cambria Math" w:hAnsi="Cambria Math"/>
          </w:rPr>
          <m:t>→ P(H|HI)</m:t>
        </m:r>
      </m:oMath>
      <w:r>
        <w:t xml:space="preserve"> = </w:t>
      </w:r>
      <m:oMath>
        <m:f>
          <m:fPr>
            <m:ctrlPr>
              <w:rPr>
                <w:rFonts w:ascii="Cambria Math" w:hAnsi="Cambria Math"/>
              </w:rPr>
            </m:ctrlPr>
          </m:fPr>
          <m:num>
            <m:r>
              <w:rPr>
                <w:rFonts w:ascii="Cambria Math" w:hAnsi="Cambria Math"/>
              </w:rPr>
              <m:t>P(H and HI)</m:t>
            </m:r>
          </m:num>
          <m:den>
            <m:r>
              <w:rPr>
                <w:rFonts w:ascii="Cambria Math" w:hAnsi="Cambria Math"/>
              </w:rPr>
              <m:t>P(HI)</m:t>
            </m:r>
          </m:den>
        </m:f>
        <m:r>
          <w:rPr>
            <w:rFonts w:ascii="Cambria Math" w:hAnsi="Cambria Math"/>
          </w:rPr>
          <m:t xml:space="preserve"> = </m:t>
        </m:r>
        <m:f>
          <m:fPr>
            <m:ctrlPr>
              <w:rPr>
                <w:rFonts w:ascii="Cambria Math" w:hAnsi="Cambria Math"/>
              </w:rPr>
            </m:ctrlPr>
          </m:fPr>
          <m:num>
            <m:r>
              <w:rPr>
                <w:rFonts w:ascii="Cambria Math" w:hAnsi="Cambria Math"/>
              </w:rPr>
              <m:t>0</m:t>
            </m:r>
          </m:num>
          <m:den>
            <m:f>
              <m:fPr>
                <m:ctrlPr>
                  <w:rPr>
                    <w:rFonts w:ascii="Cambria Math" w:hAnsi="Cambria Math"/>
                  </w:rPr>
                </m:ctrlPr>
              </m:fPr>
              <m:num>
                <m:r>
                  <w:rPr>
                    <w:rFonts w:ascii="Cambria Math" w:hAnsi="Cambria Math"/>
                  </w:rPr>
                  <m:t>5</m:t>
                </m:r>
              </m:num>
              <m:den>
                <m:r>
                  <w:rPr>
                    <w:rFonts w:ascii="Cambria Math" w:hAnsi="Cambria Math"/>
                  </w:rPr>
                  <m:t>23</m:t>
                </m:r>
              </m:den>
            </m:f>
          </m:den>
        </m:f>
        <m:r>
          <w:rPr>
            <w:rFonts w:ascii="Cambria Math" w:hAnsi="Cambria Math"/>
          </w:rPr>
          <m:t xml:space="preserve"> = 0</m:t>
        </m:r>
      </m:oMath>
      <w:r>
        <w:t xml:space="preserve"> </w:t>
      </w:r>
    </w:p>
    <w:p w14:paraId="6F251D02" w14:textId="77777777" w:rsidR="00290180" w:rsidRDefault="00000000">
      <w:pPr>
        <w:jc w:val="center"/>
      </w:pPr>
      <m:oMathPara>
        <m:oMath>
          <m:r>
            <w:rPr>
              <w:rFonts w:ascii="Cambria Math" w:hAnsi="Cambria Math"/>
            </w:rPr>
            <m:t xml:space="preserve">⇒ P(H) = P(H|HI) as 0 = 0 </m:t>
          </m:r>
        </m:oMath>
      </m:oMathPara>
    </w:p>
    <w:p w14:paraId="7DD6CDAF" w14:textId="77777777" w:rsidR="00290180" w:rsidRDefault="00000000">
      <w:pPr>
        <w:numPr>
          <w:ilvl w:val="0"/>
          <w:numId w:val="15"/>
        </w:numPr>
        <w:spacing w:line="360" w:lineRule="auto"/>
      </w:pPr>
      <w:r>
        <w:t xml:space="preserve">Similarly, the same mathematical way is used to check countries which have high neonatal mortality rate (NMR) with Middle-Income and Low-Income. </w:t>
      </w:r>
    </w:p>
    <w:p w14:paraId="349DAB6F" w14:textId="77777777" w:rsidR="00290180" w:rsidRDefault="00000000">
      <w:pPr>
        <w:numPr>
          <w:ilvl w:val="0"/>
          <w:numId w:val="11"/>
        </w:numPr>
        <w:spacing w:line="360" w:lineRule="auto"/>
      </w:pPr>
      <w:r>
        <w:t xml:space="preserve">Middle-Income Countries: </w:t>
      </w:r>
    </w:p>
    <w:p w14:paraId="1FC69AB7" w14:textId="77777777" w:rsidR="00290180" w:rsidRPr="001C367E" w:rsidRDefault="00000000">
      <w:pPr>
        <w:jc w:val="center"/>
      </w:pPr>
      <m:oMathPara>
        <m:oMath>
          <m:r>
            <w:rPr>
              <w:rFonts w:ascii="Cambria Math" w:hAnsi="Cambria Math"/>
            </w:rPr>
            <m:t xml:space="preserve">P(MI) = </m:t>
          </m:r>
          <m:f>
            <m:fPr>
              <m:ctrlPr>
                <w:rPr>
                  <w:rFonts w:ascii="Cambria Math" w:hAnsi="Cambria Math"/>
                </w:rPr>
              </m:ctrlPr>
            </m:fPr>
            <m:num>
              <m:r>
                <w:rPr>
                  <w:rFonts w:ascii="Cambria Math" w:hAnsi="Cambria Math"/>
                </w:rPr>
                <m:t>ΣMI</m:t>
              </m:r>
            </m:num>
            <m:den>
              <m:r>
                <w:rPr>
                  <w:rFonts w:ascii="Cambria Math" w:hAnsi="Cambria Math"/>
                </w:rPr>
                <m:t>ΣX</m:t>
              </m:r>
            </m:den>
          </m:f>
          <m:r>
            <w:rPr>
              <w:rFonts w:ascii="Cambria Math" w:hAnsi="Cambria Math"/>
            </w:rPr>
            <m:t xml:space="preserve"> = </m:t>
          </m:r>
          <m:f>
            <m:fPr>
              <m:ctrlPr>
                <w:rPr>
                  <w:rFonts w:ascii="Cambria Math" w:hAnsi="Cambria Math"/>
                </w:rPr>
              </m:ctrlPr>
            </m:fPr>
            <m:num>
              <m:r>
                <w:rPr>
                  <w:rFonts w:ascii="Cambria Math" w:hAnsi="Cambria Math"/>
                </w:rPr>
                <m:t>13</m:t>
              </m:r>
            </m:num>
            <m:den>
              <m:r>
                <w:rPr>
                  <w:rFonts w:ascii="Cambria Math" w:hAnsi="Cambria Math"/>
                </w:rPr>
                <m:t>23</m:t>
              </m:r>
            </m:den>
          </m:f>
        </m:oMath>
      </m:oMathPara>
    </w:p>
    <w:p w14:paraId="212A2CB5" w14:textId="77777777" w:rsidR="00290180" w:rsidRPr="001C367E" w:rsidRDefault="00000000">
      <w:pPr>
        <w:jc w:val="center"/>
      </w:pPr>
      <m:oMathPara>
        <m:oMath>
          <m:r>
            <w:rPr>
              <w:rFonts w:ascii="Cambria Math" w:hAnsi="Cambria Math"/>
            </w:rPr>
            <m:t xml:space="preserve">P(H and MI) = </m:t>
          </m:r>
          <m:f>
            <m:fPr>
              <m:ctrlPr>
                <w:rPr>
                  <w:rFonts w:ascii="Cambria Math" w:hAnsi="Cambria Math"/>
                </w:rPr>
              </m:ctrlPr>
            </m:fPr>
            <m:num>
              <m:r>
                <w:rPr>
                  <w:rFonts w:ascii="Cambria Math" w:hAnsi="Cambria Math"/>
                </w:rPr>
                <m:t>ΣH and MI</m:t>
              </m:r>
            </m:num>
            <m:den>
              <m:r>
                <w:rPr>
                  <w:rFonts w:ascii="Cambria Math" w:hAnsi="Cambria Math"/>
                </w:rPr>
                <m:t>ΣX</m:t>
              </m:r>
            </m:den>
          </m:f>
          <m:r>
            <w:rPr>
              <w:rFonts w:ascii="Cambria Math" w:hAnsi="Cambria Math"/>
            </w:rPr>
            <m:t xml:space="preserve"> = </m:t>
          </m:r>
          <m:f>
            <m:fPr>
              <m:ctrlPr>
                <w:rPr>
                  <w:rFonts w:ascii="Cambria Math" w:hAnsi="Cambria Math"/>
                </w:rPr>
              </m:ctrlPr>
            </m:fPr>
            <m:num>
              <m:r>
                <w:rPr>
                  <w:rFonts w:ascii="Cambria Math" w:hAnsi="Cambria Math"/>
                </w:rPr>
                <m:t>4</m:t>
              </m:r>
            </m:num>
            <m:den>
              <m:r>
                <w:rPr>
                  <w:rFonts w:ascii="Cambria Math" w:hAnsi="Cambria Math"/>
                </w:rPr>
                <m:t>23</m:t>
              </m:r>
            </m:den>
          </m:f>
        </m:oMath>
      </m:oMathPara>
    </w:p>
    <w:p w14:paraId="6A01E781" w14:textId="77777777" w:rsidR="00290180" w:rsidRPr="001C367E" w:rsidRDefault="00000000">
      <w:pPr>
        <w:spacing w:line="360" w:lineRule="auto"/>
        <w:ind w:left="2160" w:firstLine="720"/>
      </w:pPr>
      <m:oMath>
        <m:r>
          <w:rPr>
            <w:rFonts w:ascii="Cambria Math" w:hAnsi="Cambria Math"/>
          </w:rPr>
          <m:t xml:space="preserve">→P(H|MI) = </m:t>
        </m:r>
        <m:f>
          <m:fPr>
            <m:ctrlPr>
              <w:rPr>
                <w:rFonts w:ascii="Cambria Math" w:hAnsi="Cambria Math"/>
              </w:rPr>
            </m:ctrlPr>
          </m:fPr>
          <m:num>
            <m:r>
              <w:rPr>
                <w:rFonts w:ascii="Cambria Math" w:hAnsi="Cambria Math"/>
              </w:rPr>
              <m:t>P(H and MI)</m:t>
            </m:r>
          </m:num>
          <m:den>
            <m:r>
              <w:rPr>
                <w:rFonts w:ascii="Cambria Math" w:hAnsi="Cambria Math"/>
              </w:rPr>
              <m:t>P(MI)</m:t>
            </m:r>
          </m:den>
        </m:f>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13</m:t>
            </m:r>
          </m:den>
        </m:f>
        <m:r>
          <w:rPr>
            <w:rFonts w:ascii="Cambria Math" w:hAnsi="Cambria Math"/>
          </w:rPr>
          <m:t xml:space="preserve"> </m:t>
        </m:r>
      </m:oMath>
      <w:r w:rsidRPr="001C367E">
        <w:t xml:space="preserve"> = 0,307</w:t>
      </w:r>
    </w:p>
    <w:p w14:paraId="661B3234" w14:textId="1C11E26E" w:rsidR="00290180" w:rsidRPr="001C367E" w:rsidRDefault="00000000">
      <w:pPr>
        <w:jc w:val="center"/>
      </w:pPr>
      <m:oMathPara>
        <m:oMath>
          <m:r>
            <w:rPr>
              <w:rFonts w:ascii="Cambria Math" w:hAnsi="Cambria Math"/>
            </w:rPr>
            <m:t>⇒P</m:t>
          </m:r>
          <m:d>
            <m:dPr>
              <m:ctrlPr>
                <w:rPr>
                  <w:rFonts w:ascii="Cambria Math" w:hAnsi="Cambria Math"/>
                </w:rPr>
              </m:ctrlPr>
            </m:dPr>
            <m:e>
              <m:r>
                <w:rPr>
                  <w:rFonts w:ascii="Cambria Math" w:hAnsi="Cambria Math"/>
                </w:rPr>
                <m:t>H</m:t>
              </m:r>
            </m:e>
          </m:d>
          <m:r>
            <w:rPr>
              <w:rFonts w:ascii="Cambria Math" w:hAnsi="Cambria Math"/>
            </w:rPr>
            <m:t>≠P</m:t>
          </m:r>
          <m:d>
            <m:dPr>
              <m:ctrlPr>
                <w:rPr>
                  <w:rFonts w:ascii="Cambria Math" w:hAnsi="Cambria Math"/>
                </w:rPr>
              </m:ctrlPr>
            </m:dPr>
            <m:e>
              <m:r>
                <w:rPr>
                  <w:rFonts w:ascii="Cambria Math" w:hAnsi="Cambria Math"/>
                </w:rPr>
                <m:t>MI</m:t>
              </m:r>
            </m:e>
          </m:d>
          <m:r>
            <w:rPr>
              <w:rFonts w:ascii="Cambria Math" w:hAnsi="Cambria Math"/>
            </w:rPr>
            <m:t xml:space="preserve"> as 0 ≠0,307</m:t>
          </m:r>
        </m:oMath>
      </m:oMathPara>
    </w:p>
    <w:p w14:paraId="3C61D5C6" w14:textId="77777777" w:rsidR="00290180" w:rsidRPr="001C367E" w:rsidRDefault="00290180">
      <w:pPr>
        <w:spacing w:line="360" w:lineRule="auto"/>
        <w:ind w:left="1440"/>
      </w:pPr>
    </w:p>
    <w:p w14:paraId="1052E174" w14:textId="77777777" w:rsidR="00290180" w:rsidRDefault="00000000">
      <w:pPr>
        <w:numPr>
          <w:ilvl w:val="0"/>
          <w:numId w:val="1"/>
        </w:numPr>
        <w:spacing w:line="360" w:lineRule="auto"/>
      </w:pPr>
      <w:r>
        <w:t xml:space="preserve">Low-Income Countries: </w:t>
      </w:r>
    </w:p>
    <w:p w14:paraId="569FCE6B" w14:textId="46156720" w:rsidR="00290180" w:rsidRDefault="00000000">
      <w:pPr>
        <w:jc w:val="center"/>
      </w:pPr>
      <m:oMathPara>
        <m:oMath>
          <m:r>
            <w:rPr>
              <w:rFonts w:ascii="Cambria Math" w:hAnsi="Cambria Math"/>
            </w:rPr>
            <m:t xml:space="preserve">P(LI) = </m:t>
          </m:r>
          <m:f>
            <m:fPr>
              <m:ctrlPr>
                <w:rPr>
                  <w:rFonts w:ascii="Cambria Math" w:hAnsi="Cambria Math"/>
                </w:rPr>
              </m:ctrlPr>
            </m:fPr>
            <m:num>
              <m:r>
                <w:rPr>
                  <w:rFonts w:ascii="Cambria Math" w:hAnsi="Cambria Math"/>
                </w:rPr>
                <m:t>ΣLI</m:t>
              </m:r>
            </m:num>
            <m:den>
              <m:r>
                <w:rPr>
                  <w:rFonts w:ascii="Cambria Math" w:hAnsi="Cambria Math"/>
                </w:rPr>
                <m:t>ΣX</m:t>
              </m:r>
            </m:den>
          </m:f>
          <m:r>
            <w:rPr>
              <w:rFonts w:ascii="Cambria Math" w:hAnsi="Cambria Math"/>
            </w:rPr>
            <m:t xml:space="preserve"> = </m:t>
          </m:r>
          <m:f>
            <m:fPr>
              <m:ctrlPr>
                <w:rPr>
                  <w:rFonts w:ascii="Cambria Math" w:hAnsi="Cambria Math"/>
                </w:rPr>
              </m:ctrlPr>
            </m:fPr>
            <m:num>
              <m:r>
                <w:rPr>
                  <w:rFonts w:ascii="Cambria Math" w:hAnsi="Cambria Math"/>
                </w:rPr>
                <m:t>5</m:t>
              </m:r>
            </m:num>
            <m:den>
              <m:r>
                <w:rPr>
                  <w:rFonts w:ascii="Cambria Math" w:hAnsi="Cambria Math"/>
                </w:rPr>
                <m:t>23</m:t>
              </m:r>
            </m:den>
          </m:f>
        </m:oMath>
      </m:oMathPara>
    </w:p>
    <w:p w14:paraId="4BBED050" w14:textId="77777777" w:rsidR="00290180" w:rsidRDefault="00000000">
      <w:pPr>
        <w:jc w:val="center"/>
      </w:pPr>
      <m:oMathPara>
        <m:oMath>
          <m:r>
            <w:rPr>
              <w:rFonts w:ascii="Cambria Math" w:hAnsi="Cambria Math"/>
            </w:rPr>
            <m:t xml:space="preserve">P(H and LI) = </m:t>
          </m:r>
          <m:f>
            <m:fPr>
              <m:ctrlPr>
                <w:rPr>
                  <w:rFonts w:ascii="Cambria Math" w:hAnsi="Cambria Math"/>
                </w:rPr>
              </m:ctrlPr>
            </m:fPr>
            <m:num>
              <m:r>
                <w:rPr>
                  <w:rFonts w:ascii="Cambria Math" w:hAnsi="Cambria Math"/>
                </w:rPr>
                <m:t>ΣH and LI</m:t>
              </m:r>
            </m:num>
            <m:den>
              <m:r>
                <w:rPr>
                  <w:rFonts w:ascii="Cambria Math" w:hAnsi="Cambria Math"/>
                </w:rPr>
                <m:t>ΣX</m:t>
              </m:r>
            </m:den>
          </m:f>
          <m:r>
            <w:rPr>
              <w:rFonts w:ascii="Cambria Math" w:hAnsi="Cambria Math"/>
            </w:rPr>
            <m:t xml:space="preserve"> = </m:t>
          </m:r>
          <m:f>
            <m:fPr>
              <m:ctrlPr>
                <w:rPr>
                  <w:rFonts w:ascii="Cambria Math" w:hAnsi="Cambria Math"/>
                </w:rPr>
              </m:ctrlPr>
            </m:fPr>
            <m:num>
              <m:r>
                <w:rPr>
                  <w:rFonts w:ascii="Cambria Math" w:hAnsi="Cambria Math"/>
                </w:rPr>
                <m:t>5</m:t>
              </m:r>
            </m:num>
            <m:den>
              <m:r>
                <w:rPr>
                  <w:rFonts w:ascii="Cambria Math" w:hAnsi="Cambria Math"/>
                </w:rPr>
                <m:t>23</m:t>
              </m:r>
            </m:den>
          </m:f>
        </m:oMath>
      </m:oMathPara>
    </w:p>
    <w:p w14:paraId="724A670C" w14:textId="3DBBA16F" w:rsidR="00290180" w:rsidRDefault="00000000">
      <w:pPr>
        <w:jc w:val="center"/>
      </w:pPr>
      <m:oMathPara>
        <m:oMath>
          <m:r>
            <w:rPr>
              <w:rFonts w:ascii="Cambria Math" w:hAnsi="Cambria Math"/>
            </w:rPr>
            <m:t>→P</m:t>
          </m:r>
          <m:d>
            <m:dPr>
              <m:ctrlPr>
                <w:rPr>
                  <w:rFonts w:ascii="Cambria Math" w:hAnsi="Cambria Math"/>
                </w:rPr>
              </m:ctrlPr>
            </m:dPr>
            <m:e>
              <m:r>
                <w:rPr>
                  <w:rFonts w:ascii="Cambria Math" w:hAnsi="Cambria Math"/>
                </w:rPr>
                <m:t>LI</m:t>
              </m:r>
            </m:e>
          </m:d>
          <m:r>
            <w:rPr>
              <w:rFonts w:ascii="Cambria Math" w:hAnsi="Cambria Math"/>
            </w:rPr>
            <m:t xml:space="preserve">= </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H and LI</m:t>
                  </m:r>
                </m:e>
              </m:d>
            </m:num>
            <m:den>
              <m:r>
                <w:rPr>
                  <w:rFonts w:ascii="Cambria Math" w:hAnsi="Cambria Math"/>
                </w:rPr>
                <m:t>P</m:t>
              </m:r>
              <m:d>
                <m:dPr>
                  <m:ctrlPr>
                    <w:rPr>
                      <w:rFonts w:ascii="Cambria Math" w:hAnsi="Cambria Math"/>
                    </w:rPr>
                  </m:ctrlPr>
                </m:dPr>
                <m:e>
                  <m:r>
                    <w:rPr>
                      <w:rFonts w:ascii="Cambria Math" w:hAnsi="Cambria Math"/>
                    </w:rPr>
                    <m:t>LI</m:t>
                  </m:r>
                </m:e>
              </m:d>
            </m:den>
          </m:f>
          <m:r>
            <w:rPr>
              <w:rFonts w:ascii="Cambria Math" w:hAnsi="Cambria Math"/>
            </w:rPr>
            <m:t xml:space="preserve"> = </m:t>
          </m:r>
          <m:r>
            <m:rPr>
              <m:sty m:val="p"/>
            </m:rPr>
            <w:rPr>
              <w:rFonts w:ascii="Cambria Math" w:hAnsi="Cambria Math"/>
            </w:rPr>
            <m:t>1</m:t>
          </m:r>
        </m:oMath>
      </m:oMathPara>
    </w:p>
    <w:p w14:paraId="2B603D55" w14:textId="5AC0CB4B" w:rsidR="00290180" w:rsidRDefault="00000000">
      <w:pPr>
        <w:jc w:val="center"/>
      </w:pPr>
      <m:oMathPara>
        <m:oMath>
          <m:r>
            <w:rPr>
              <w:rFonts w:ascii="Cambria Math" w:hAnsi="Cambria Math"/>
            </w:rPr>
            <m:t>⇒P(H) ≠ P(H|LI) as 0 ≠ 1</m:t>
          </m:r>
        </m:oMath>
      </m:oMathPara>
    </w:p>
    <w:p w14:paraId="261DB707" w14:textId="3936D077" w:rsidR="00290180" w:rsidRDefault="00000000">
      <w:pPr>
        <w:numPr>
          <w:ilvl w:val="0"/>
          <w:numId w:val="4"/>
        </w:numPr>
        <w:spacing w:line="360" w:lineRule="auto"/>
      </w:pPr>
      <w:r>
        <w:t xml:space="preserve">According to the computed conclusion, there is a difference in the association between the probability of a high neonatal death rate and countries with </w:t>
      </w:r>
      <w:r w:rsidR="00754A57">
        <w:rPr>
          <w:lang w:val="en-US"/>
        </w:rPr>
        <w:t>different groups of countries.</w:t>
      </w:r>
      <w:r>
        <w:t>While High</w:t>
      </w:r>
      <w:r w:rsidR="00754A57">
        <w:rPr>
          <w:lang w:val="en-US"/>
        </w:rPr>
        <w:t xml:space="preserve"> GNI</w:t>
      </w:r>
      <w:r>
        <w:t xml:space="preserve"> Countries appear statistically independent from NMR, Middle-Income and Low-Income Countries have newborn mortality rates that are dependent on GNI.</w:t>
      </w:r>
    </w:p>
    <w:p w14:paraId="5D035684" w14:textId="77777777" w:rsidR="00290180" w:rsidRDefault="00000000">
      <w:pPr>
        <w:numPr>
          <w:ilvl w:val="0"/>
          <w:numId w:val="4"/>
        </w:numPr>
        <w:spacing w:line="360" w:lineRule="auto"/>
      </w:pPr>
      <w:r>
        <w:t xml:space="preserve">Deeply analyzed the data, we can find out the probability of high neonatal mortality rate in 3 level of GNI through this comparison: </w:t>
      </w:r>
    </w:p>
    <w:p w14:paraId="641AF106" w14:textId="4FB4A3C0" w:rsidR="00290180" w:rsidRDefault="00000000">
      <w:pPr>
        <w:spacing w:line="360" w:lineRule="auto"/>
        <w:ind w:left="720"/>
        <w:rPr>
          <w:i/>
        </w:rPr>
      </w:pPr>
      <w:r>
        <w:tab/>
      </w:r>
      <m:oMath>
        <m:r>
          <w:rPr>
            <w:rFonts w:ascii="Cambria Math" w:hAnsi="Cambria Math"/>
          </w:rPr>
          <m:t>P(H|HI) = 0 &lt; P(H|MI) = 0,307 &lt; P(H|LI) = 1</m:t>
        </m:r>
      </m:oMath>
    </w:p>
    <w:p w14:paraId="789D62AB" w14:textId="77777777" w:rsidR="00290180" w:rsidRDefault="00000000">
      <w:pPr>
        <w:numPr>
          <w:ilvl w:val="0"/>
          <w:numId w:val="21"/>
        </w:numPr>
        <w:spacing w:line="360" w:lineRule="auto"/>
      </w:pPr>
      <w:r>
        <w:lastRenderedPageBreak/>
        <w:t>Based on this comparison, we may conclude that Low-Income  and Middle-Income Countries have the likelihood of experiencing a high neonatal mortality rate, whereas High-Income Countries have no such possibility.</w:t>
      </w:r>
    </w:p>
    <w:p w14:paraId="48DF451D" w14:textId="77777777" w:rsidR="00290180" w:rsidRDefault="00000000">
      <w:pPr>
        <w:numPr>
          <w:ilvl w:val="0"/>
          <w:numId w:val="25"/>
        </w:numPr>
        <w:spacing w:line="360" w:lineRule="auto"/>
        <w:rPr>
          <w:sz w:val="28"/>
          <w:szCs w:val="28"/>
        </w:rPr>
      </w:pPr>
      <w:r>
        <w:rPr>
          <w:sz w:val="28"/>
          <w:szCs w:val="28"/>
        </w:rPr>
        <w:t>Descriptive statistics</w:t>
      </w:r>
    </w:p>
    <w:p w14:paraId="386B4147" w14:textId="77777777" w:rsidR="00290180" w:rsidRPr="008544C8" w:rsidRDefault="00000000">
      <w:pPr>
        <w:numPr>
          <w:ilvl w:val="0"/>
          <w:numId w:val="18"/>
        </w:numPr>
        <w:spacing w:line="360" w:lineRule="auto"/>
      </w:pPr>
      <w:r w:rsidRPr="008544C8">
        <w:t>Central Tendency</w:t>
      </w:r>
    </w:p>
    <w:p w14:paraId="05B40F2C" w14:textId="77777777" w:rsidR="00290180" w:rsidRDefault="00290180">
      <w:pPr>
        <w:spacing w:line="360" w:lineRule="auto"/>
        <w:ind w:left="1440"/>
      </w:pPr>
    </w:p>
    <w:tbl>
      <w:tblPr>
        <w:tblStyle w:val="a7"/>
        <w:tblW w:w="9030" w:type="dxa"/>
        <w:tblBorders>
          <w:top w:val="nil"/>
          <w:left w:val="nil"/>
          <w:bottom w:val="nil"/>
          <w:right w:val="nil"/>
          <w:insideH w:val="nil"/>
          <w:insideV w:val="nil"/>
        </w:tblBorders>
        <w:tblLayout w:type="fixed"/>
        <w:tblLook w:val="0600" w:firstRow="0" w:lastRow="0" w:firstColumn="0" w:lastColumn="0" w:noHBand="1" w:noVBand="1"/>
      </w:tblPr>
      <w:tblGrid>
        <w:gridCol w:w="1680"/>
        <w:gridCol w:w="3255"/>
        <w:gridCol w:w="2220"/>
        <w:gridCol w:w="1875"/>
      </w:tblGrid>
      <w:tr w:rsidR="00290180" w14:paraId="5FA5984B" w14:textId="77777777" w:rsidTr="00B043CA">
        <w:trPr>
          <w:trHeight w:val="315"/>
        </w:trPr>
        <w:tc>
          <w:tcPr>
            <w:tcW w:w="1680"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40" w:type="dxa"/>
              <w:left w:w="40" w:type="dxa"/>
              <w:bottom w:w="40" w:type="dxa"/>
              <w:right w:w="40" w:type="dxa"/>
            </w:tcMar>
            <w:vAlign w:val="bottom"/>
          </w:tcPr>
          <w:p w14:paraId="67B6BE4F" w14:textId="77777777" w:rsidR="00290180" w:rsidRDefault="00290180">
            <w:pPr>
              <w:widowControl w:val="0"/>
              <w:jc w:val="center"/>
              <w:rPr>
                <w:sz w:val="20"/>
                <w:szCs w:val="20"/>
              </w:rPr>
            </w:pPr>
          </w:p>
        </w:tc>
        <w:tc>
          <w:tcPr>
            <w:tcW w:w="3255" w:type="dxa"/>
            <w:tcBorders>
              <w:top w:val="single" w:sz="6" w:space="0" w:color="000000"/>
              <w:left w:val="single" w:sz="6" w:space="0" w:color="CCCCCC"/>
              <w:bottom w:val="single" w:sz="6" w:space="0" w:color="000000"/>
              <w:right w:val="single" w:sz="6" w:space="0" w:color="000000"/>
            </w:tcBorders>
            <w:shd w:val="clear" w:color="auto" w:fill="8DB3E2" w:themeFill="text2" w:themeFillTint="66"/>
            <w:tcMar>
              <w:top w:w="40" w:type="dxa"/>
              <w:left w:w="40" w:type="dxa"/>
              <w:bottom w:w="40" w:type="dxa"/>
              <w:right w:w="40" w:type="dxa"/>
            </w:tcMar>
            <w:vAlign w:val="bottom"/>
          </w:tcPr>
          <w:p w14:paraId="68AFC6CC" w14:textId="77777777" w:rsidR="00290180" w:rsidRDefault="00000000">
            <w:pPr>
              <w:widowControl w:val="0"/>
              <w:jc w:val="center"/>
              <w:rPr>
                <w:sz w:val="20"/>
                <w:szCs w:val="20"/>
              </w:rPr>
            </w:pPr>
            <w:r>
              <w:rPr>
                <w:sz w:val="20"/>
                <w:szCs w:val="20"/>
              </w:rPr>
              <w:t>Low-Income (LI)</w:t>
            </w:r>
          </w:p>
        </w:tc>
        <w:tc>
          <w:tcPr>
            <w:tcW w:w="2220" w:type="dxa"/>
            <w:tcBorders>
              <w:top w:val="single" w:sz="6" w:space="0" w:color="000000"/>
              <w:left w:val="single" w:sz="6" w:space="0" w:color="CCCCCC"/>
              <w:bottom w:val="single" w:sz="6" w:space="0" w:color="000000"/>
              <w:right w:val="single" w:sz="6" w:space="0" w:color="000000"/>
            </w:tcBorders>
            <w:shd w:val="clear" w:color="auto" w:fill="8DB3E2" w:themeFill="text2" w:themeFillTint="66"/>
            <w:tcMar>
              <w:top w:w="40" w:type="dxa"/>
              <w:left w:w="40" w:type="dxa"/>
              <w:bottom w:w="40" w:type="dxa"/>
              <w:right w:w="40" w:type="dxa"/>
            </w:tcMar>
            <w:vAlign w:val="bottom"/>
          </w:tcPr>
          <w:p w14:paraId="3A6A61BE" w14:textId="77777777" w:rsidR="00290180" w:rsidRDefault="00000000">
            <w:pPr>
              <w:widowControl w:val="0"/>
              <w:jc w:val="center"/>
              <w:rPr>
                <w:sz w:val="20"/>
                <w:szCs w:val="20"/>
              </w:rPr>
            </w:pPr>
            <w:r>
              <w:rPr>
                <w:sz w:val="20"/>
                <w:szCs w:val="20"/>
              </w:rPr>
              <w:t>Middle-Income (MI)</w:t>
            </w:r>
          </w:p>
        </w:tc>
        <w:tc>
          <w:tcPr>
            <w:tcW w:w="1875" w:type="dxa"/>
            <w:tcBorders>
              <w:top w:val="single" w:sz="6" w:space="0" w:color="000000"/>
              <w:left w:val="single" w:sz="6" w:space="0" w:color="CCCCCC"/>
              <w:bottom w:val="single" w:sz="6" w:space="0" w:color="000000"/>
              <w:right w:val="single" w:sz="6" w:space="0" w:color="000000"/>
            </w:tcBorders>
            <w:shd w:val="clear" w:color="auto" w:fill="8DB3E2" w:themeFill="text2" w:themeFillTint="66"/>
            <w:tcMar>
              <w:top w:w="40" w:type="dxa"/>
              <w:left w:w="40" w:type="dxa"/>
              <w:bottom w:w="40" w:type="dxa"/>
              <w:right w:w="40" w:type="dxa"/>
            </w:tcMar>
            <w:vAlign w:val="bottom"/>
          </w:tcPr>
          <w:p w14:paraId="1E348380" w14:textId="77777777" w:rsidR="00290180" w:rsidRDefault="00000000">
            <w:pPr>
              <w:widowControl w:val="0"/>
              <w:jc w:val="center"/>
              <w:rPr>
                <w:sz w:val="20"/>
                <w:szCs w:val="20"/>
              </w:rPr>
            </w:pPr>
            <w:r>
              <w:rPr>
                <w:sz w:val="20"/>
                <w:szCs w:val="20"/>
              </w:rPr>
              <w:t>High-Income (HI)</w:t>
            </w:r>
          </w:p>
        </w:tc>
      </w:tr>
      <w:tr w:rsidR="00290180" w14:paraId="4790353C" w14:textId="77777777" w:rsidTr="00B043CA">
        <w:trPr>
          <w:trHeight w:val="369"/>
        </w:trPr>
        <w:tc>
          <w:tcPr>
            <w:tcW w:w="1680" w:type="dxa"/>
            <w:tcBorders>
              <w:top w:val="single" w:sz="6" w:space="0" w:color="CCCCCC"/>
              <w:left w:val="single" w:sz="6" w:space="0" w:color="000000"/>
              <w:bottom w:val="single" w:sz="6" w:space="0" w:color="000000"/>
              <w:right w:val="single" w:sz="6" w:space="0" w:color="000000"/>
            </w:tcBorders>
            <w:shd w:val="clear" w:color="auto" w:fill="DDD9C3" w:themeFill="background2" w:themeFillShade="E6"/>
            <w:tcMar>
              <w:top w:w="40" w:type="dxa"/>
              <w:left w:w="40" w:type="dxa"/>
              <w:bottom w:w="40" w:type="dxa"/>
              <w:right w:w="40" w:type="dxa"/>
            </w:tcMar>
            <w:vAlign w:val="bottom"/>
          </w:tcPr>
          <w:p w14:paraId="6ED06A6E" w14:textId="77777777" w:rsidR="00290180" w:rsidRDefault="00000000">
            <w:pPr>
              <w:widowControl w:val="0"/>
              <w:jc w:val="center"/>
              <w:rPr>
                <w:sz w:val="20"/>
                <w:szCs w:val="20"/>
              </w:rPr>
            </w:pPr>
            <w:r>
              <w:rPr>
                <w:sz w:val="20"/>
                <w:szCs w:val="20"/>
              </w:rPr>
              <w:t>Mean</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C900176" w14:textId="77777777" w:rsidR="00290180" w:rsidRDefault="00000000">
            <w:pPr>
              <w:widowControl w:val="0"/>
              <w:jc w:val="center"/>
              <w:rPr>
                <w:sz w:val="20"/>
                <w:szCs w:val="20"/>
              </w:rPr>
            </w:pPr>
            <w:r>
              <w:rPr>
                <w:sz w:val="20"/>
                <w:szCs w:val="20"/>
              </w:rPr>
              <w:t>21.96</w:t>
            </w:r>
          </w:p>
        </w:tc>
        <w:tc>
          <w:tcPr>
            <w:tcW w:w="2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B94DD50" w14:textId="77777777" w:rsidR="00290180" w:rsidRDefault="00000000">
            <w:pPr>
              <w:widowControl w:val="0"/>
              <w:jc w:val="center"/>
              <w:rPr>
                <w:sz w:val="20"/>
                <w:szCs w:val="20"/>
              </w:rPr>
            </w:pPr>
            <w:r>
              <w:rPr>
                <w:sz w:val="20"/>
                <w:szCs w:val="20"/>
              </w:rPr>
              <w:t>12.95</w:t>
            </w:r>
          </w:p>
        </w:tc>
        <w:tc>
          <w:tcPr>
            <w:tcW w:w="18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8FB30E9" w14:textId="77777777" w:rsidR="00290180" w:rsidRDefault="00000000">
            <w:pPr>
              <w:widowControl w:val="0"/>
              <w:jc w:val="center"/>
              <w:rPr>
                <w:sz w:val="20"/>
                <w:szCs w:val="20"/>
              </w:rPr>
            </w:pPr>
            <w:r>
              <w:rPr>
                <w:sz w:val="20"/>
                <w:szCs w:val="20"/>
              </w:rPr>
              <w:t>5.42</w:t>
            </w:r>
          </w:p>
        </w:tc>
      </w:tr>
      <w:tr w:rsidR="00290180" w14:paraId="0420B12B" w14:textId="77777777" w:rsidTr="00B043CA">
        <w:trPr>
          <w:trHeight w:val="315"/>
        </w:trPr>
        <w:tc>
          <w:tcPr>
            <w:tcW w:w="1680" w:type="dxa"/>
            <w:tcBorders>
              <w:top w:val="single" w:sz="6" w:space="0" w:color="CCCCCC"/>
              <w:left w:val="single" w:sz="6" w:space="0" w:color="000000"/>
              <w:bottom w:val="single" w:sz="6" w:space="0" w:color="000000"/>
              <w:right w:val="single" w:sz="6" w:space="0" w:color="000000"/>
            </w:tcBorders>
            <w:shd w:val="clear" w:color="auto" w:fill="DDD9C3" w:themeFill="background2" w:themeFillShade="E6"/>
            <w:tcMar>
              <w:top w:w="40" w:type="dxa"/>
              <w:left w:w="40" w:type="dxa"/>
              <w:bottom w:w="40" w:type="dxa"/>
              <w:right w:w="40" w:type="dxa"/>
            </w:tcMar>
            <w:vAlign w:val="bottom"/>
          </w:tcPr>
          <w:p w14:paraId="0257096E" w14:textId="77777777" w:rsidR="00290180" w:rsidRDefault="00000000">
            <w:pPr>
              <w:widowControl w:val="0"/>
              <w:jc w:val="center"/>
              <w:rPr>
                <w:sz w:val="20"/>
                <w:szCs w:val="20"/>
              </w:rPr>
            </w:pPr>
            <w:r>
              <w:rPr>
                <w:sz w:val="20"/>
                <w:szCs w:val="20"/>
              </w:rPr>
              <w:t>Median</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117123" w14:textId="77777777" w:rsidR="00290180" w:rsidRDefault="00000000">
            <w:pPr>
              <w:widowControl w:val="0"/>
              <w:jc w:val="center"/>
              <w:rPr>
                <w:sz w:val="20"/>
                <w:szCs w:val="20"/>
              </w:rPr>
            </w:pPr>
            <w:r>
              <w:rPr>
                <w:sz w:val="20"/>
                <w:szCs w:val="20"/>
              </w:rPr>
              <w:t>21.70</w:t>
            </w:r>
          </w:p>
        </w:tc>
        <w:tc>
          <w:tcPr>
            <w:tcW w:w="2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82E440E" w14:textId="77777777" w:rsidR="00290180" w:rsidRDefault="00000000">
            <w:pPr>
              <w:widowControl w:val="0"/>
              <w:jc w:val="center"/>
              <w:rPr>
                <w:sz w:val="20"/>
                <w:szCs w:val="20"/>
              </w:rPr>
            </w:pPr>
            <w:r>
              <w:rPr>
                <w:sz w:val="20"/>
                <w:szCs w:val="20"/>
              </w:rPr>
              <w:t>11.50</w:t>
            </w:r>
          </w:p>
        </w:tc>
        <w:tc>
          <w:tcPr>
            <w:tcW w:w="18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1F58CA0" w14:textId="77777777" w:rsidR="00290180" w:rsidRDefault="00000000">
            <w:pPr>
              <w:widowControl w:val="0"/>
              <w:jc w:val="center"/>
              <w:rPr>
                <w:sz w:val="20"/>
                <w:szCs w:val="20"/>
              </w:rPr>
            </w:pPr>
            <w:r>
              <w:rPr>
                <w:sz w:val="20"/>
                <w:szCs w:val="20"/>
              </w:rPr>
              <w:t>4.10</w:t>
            </w:r>
          </w:p>
        </w:tc>
      </w:tr>
      <w:tr w:rsidR="00290180" w14:paraId="7664D910" w14:textId="77777777" w:rsidTr="00B043CA">
        <w:trPr>
          <w:trHeight w:val="315"/>
        </w:trPr>
        <w:tc>
          <w:tcPr>
            <w:tcW w:w="1680" w:type="dxa"/>
            <w:tcBorders>
              <w:top w:val="single" w:sz="6" w:space="0" w:color="CCCCCC"/>
              <w:left w:val="single" w:sz="6" w:space="0" w:color="000000"/>
              <w:bottom w:val="single" w:sz="6" w:space="0" w:color="000000"/>
              <w:right w:val="single" w:sz="6" w:space="0" w:color="000000"/>
            </w:tcBorders>
            <w:shd w:val="clear" w:color="auto" w:fill="DDD9C3" w:themeFill="background2" w:themeFillShade="E6"/>
            <w:tcMar>
              <w:top w:w="40" w:type="dxa"/>
              <w:left w:w="40" w:type="dxa"/>
              <w:bottom w:w="40" w:type="dxa"/>
              <w:right w:w="40" w:type="dxa"/>
            </w:tcMar>
            <w:vAlign w:val="bottom"/>
          </w:tcPr>
          <w:p w14:paraId="75396655" w14:textId="77777777" w:rsidR="00290180" w:rsidRDefault="00000000">
            <w:pPr>
              <w:widowControl w:val="0"/>
              <w:jc w:val="center"/>
              <w:rPr>
                <w:sz w:val="20"/>
                <w:szCs w:val="20"/>
              </w:rPr>
            </w:pPr>
            <w:r>
              <w:rPr>
                <w:sz w:val="20"/>
                <w:szCs w:val="20"/>
              </w:rPr>
              <w:t>Mode</w:t>
            </w:r>
          </w:p>
        </w:tc>
        <w:tc>
          <w:tcPr>
            <w:tcW w:w="3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617AF0F" w14:textId="77777777" w:rsidR="00290180" w:rsidRDefault="00000000">
            <w:pPr>
              <w:widowControl w:val="0"/>
              <w:jc w:val="center"/>
              <w:rPr>
                <w:sz w:val="20"/>
                <w:szCs w:val="20"/>
              </w:rPr>
            </w:pPr>
            <w:r>
              <w:rPr>
                <w:sz w:val="20"/>
                <w:szCs w:val="20"/>
              </w:rPr>
              <w:t>#N/A</w:t>
            </w:r>
          </w:p>
        </w:tc>
        <w:tc>
          <w:tcPr>
            <w:tcW w:w="2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5A3A6BE" w14:textId="77777777" w:rsidR="00290180" w:rsidRDefault="00000000">
            <w:pPr>
              <w:widowControl w:val="0"/>
              <w:jc w:val="center"/>
              <w:rPr>
                <w:sz w:val="20"/>
                <w:szCs w:val="20"/>
              </w:rPr>
            </w:pPr>
            <w:r>
              <w:rPr>
                <w:sz w:val="20"/>
                <w:szCs w:val="20"/>
              </w:rPr>
              <w:t>5.3</w:t>
            </w:r>
          </w:p>
        </w:tc>
        <w:tc>
          <w:tcPr>
            <w:tcW w:w="18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240AE20" w14:textId="77777777" w:rsidR="00290180" w:rsidRDefault="00000000">
            <w:pPr>
              <w:widowControl w:val="0"/>
              <w:jc w:val="center"/>
              <w:rPr>
                <w:sz w:val="20"/>
                <w:szCs w:val="20"/>
              </w:rPr>
            </w:pPr>
            <w:r>
              <w:rPr>
                <w:sz w:val="20"/>
                <w:szCs w:val="20"/>
              </w:rPr>
              <w:t>#N/A</w:t>
            </w:r>
          </w:p>
        </w:tc>
      </w:tr>
    </w:tbl>
    <w:p w14:paraId="15E83A0B" w14:textId="77777777" w:rsidR="00290180" w:rsidRDefault="00000000" w:rsidP="00B043CA">
      <w:pPr>
        <w:spacing w:line="360" w:lineRule="auto"/>
        <w:ind w:left="1440"/>
        <w:jc w:val="center"/>
      </w:pPr>
      <w:r w:rsidRPr="00F45EA0">
        <w:rPr>
          <w:b/>
          <w:bCs/>
          <w:i/>
          <w:iCs/>
        </w:rPr>
        <w:t>Table 3</w:t>
      </w:r>
      <w:r>
        <w:t>: Table for central tendency on neonatal mortality rate categorized by level of countries GNI in 2017.</w:t>
      </w:r>
    </w:p>
    <w:p w14:paraId="09077BF6" w14:textId="77777777" w:rsidR="00290180" w:rsidRDefault="00290180">
      <w:pPr>
        <w:spacing w:line="360" w:lineRule="auto"/>
        <w:ind w:left="1440"/>
      </w:pPr>
    </w:p>
    <w:p w14:paraId="7F2B362C" w14:textId="77777777" w:rsidR="00290180" w:rsidRDefault="00290180">
      <w:pPr>
        <w:spacing w:line="360" w:lineRule="auto"/>
        <w:ind w:left="2160"/>
      </w:pPr>
    </w:p>
    <w:tbl>
      <w:tblPr>
        <w:tblStyle w:val="a8"/>
        <w:tblW w:w="9031" w:type="dxa"/>
        <w:tblBorders>
          <w:top w:val="nil"/>
          <w:left w:val="nil"/>
          <w:bottom w:val="nil"/>
          <w:right w:val="nil"/>
          <w:insideH w:val="nil"/>
          <w:insideV w:val="nil"/>
        </w:tblBorders>
        <w:tblLayout w:type="fixed"/>
        <w:tblLook w:val="0600" w:firstRow="0" w:lastRow="0" w:firstColumn="0" w:lastColumn="0" w:noHBand="1" w:noVBand="1"/>
      </w:tblPr>
      <w:tblGrid>
        <w:gridCol w:w="2266"/>
        <w:gridCol w:w="2685"/>
        <w:gridCol w:w="2340"/>
        <w:gridCol w:w="1740"/>
      </w:tblGrid>
      <w:tr w:rsidR="00290180" w14:paraId="1FDD493F" w14:textId="77777777">
        <w:trPr>
          <w:trHeight w:val="315"/>
        </w:trPr>
        <w:tc>
          <w:tcPr>
            <w:tcW w:w="2266" w:type="dxa"/>
            <w:tcBorders>
              <w:top w:val="single" w:sz="6" w:space="0" w:color="000000"/>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bottom"/>
          </w:tcPr>
          <w:p w14:paraId="37CA43D3" w14:textId="77777777" w:rsidR="00290180" w:rsidRDefault="00290180">
            <w:pPr>
              <w:widowControl w:val="0"/>
              <w:jc w:val="center"/>
              <w:rPr>
                <w:sz w:val="20"/>
                <w:szCs w:val="20"/>
              </w:rPr>
            </w:pPr>
          </w:p>
        </w:tc>
        <w:tc>
          <w:tcPr>
            <w:tcW w:w="2685" w:type="dxa"/>
            <w:tcBorders>
              <w:top w:val="single" w:sz="6" w:space="0" w:color="000000"/>
              <w:left w:val="single" w:sz="6" w:space="0" w:color="CCCCCC"/>
              <w:bottom w:val="single" w:sz="6" w:space="0" w:color="000000"/>
              <w:right w:val="single" w:sz="6" w:space="0" w:color="000000"/>
            </w:tcBorders>
            <w:shd w:val="clear" w:color="auto" w:fill="9FC5E8"/>
            <w:tcMar>
              <w:top w:w="40" w:type="dxa"/>
              <w:left w:w="40" w:type="dxa"/>
              <w:bottom w:w="40" w:type="dxa"/>
              <w:right w:w="40" w:type="dxa"/>
            </w:tcMar>
            <w:vAlign w:val="bottom"/>
          </w:tcPr>
          <w:p w14:paraId="6598C9A5" w14:textId="77777777" w:rsidR="00290180" w:rsidRDefault="00000000">
            <w:pPr>
              <w:widowControl w:val="0"/>
              <w:jc w:val="center"/>
              <w:rPr>
                <w:sz w:val="20"/>
                <w:szCs w:val="20"/>
              </w:rPr>
            </w:pPr>
            <w:r>
              <w:rPr>
                <w:sz w:val="20"/>
                <w:szCs w:val="20"/>
              </w:rPr>
              <w:t>Low-Income (LI)</w:t>
            </w:r>
          </w:p>
        </w:tc>
        <w:tc>
          <w:tcPr>
            <w:tcW w:w="2340" w:type="dxa"/>
            <w:tcBorders>
              <w:top w:val="single" w:sz="6" w:space="0" w:color="000000"/>
              <w:left w:val="single" w:sz="6" w:space="0" w:color="CCCCCC"/>
              <w:bottom w:val="single" w:sz="6" w:space="0" w:color="000000"/>
              <w:right w:val="single" w:sz="6" w:space="0" w:color="000000"/>
            </w:tcBorders>
            <w:shd w:val="clear" w:color="auto" w:fill="9FC5E8"/>
            <w:tcMar>
              <w:top w:w="40" w:type="dxa"/>
              <w:left w:w="40" w:type="dxa"/>
              <w:bottom w:w="40" w:type="dxa"/>
              <w:right w:w="40" w:type="dxa"/>
            </w:tcMar>
            <w:vAlign w:val="bottom"/>
          </w:tcPr>
          <w:p w14:paraId="317CB089" w14:textId="77777777" w:rsidR="00290180" w:rsidRDefault="00000000">
            <w:pPr>
              <w:widowControl w:val="0"/>
              <w:jc w:val="center"/>
              <w:rPr>
                <w:sz w:val="20"/>
                <w:szCs w:val="20"/>
              </w:rPr>
            </w:pPr>
            <w:r>
              <w:rPr>
                <w:sz w:val="20"/>
                <w:szCs w:val="20"/>
              </w:rPr>
              <w:t>Middle-Income (MI)</w:t>
            </w:r>
          </w:p>
        </w:tc>
        <w:tc>
          <w:tcPr>
            <w:tcW w:w="1740" w:type="dxa"/>
            <w:tcBorders>
              <w:top w:val="single" w:sz="6" w:space="0" w:color="000000"/>
              <w:left w:val="single" w:sz="6" w:space="0" w:color="CCCCCC"/>
              <w:bottom w:val="single" w:sz="6" w:space="0" w:color="000000"/>
              <w:right w:val="single" w:sz="6" w:space="0" w:color="000000"/>
            </w:tcBorders>
            <w:shd w:val="clear" w:color="auto" w:fill="9FC5E8"/>
            <w:tcMar>
              <w:top w:w="40" w:type="dxa"/>
              <w:left w:w="40" w:type="dxa"/>
              <w:bottom w:w="40" w:type="dxa"/>
              <w:right w:w="40" w:type="dxa"/>
            </w:tcMar>
            <w:vAlign w:val="bottom"/>
          </w:tcPr>
          <w:p w14:paraId="178D3956" w14:textId="77777777" w:rsidR="00290180" w:rsidRDefault="00000000">
            <w:pPr>
              <w:widowControl w:val="0"/>
              <w:jc w:val="center"/>
              <w:rPr>
                <w:sz w:val="20"/>
                <w:szCs w:val="20"/>
              </w:rPr>
            </w:pPr>
            <w:r>
              <w:rPr>
                <w:sz w:val="20"/>
                <w:szCs w:val="20"/>
              </w:rPr>
              <w:t>High-Income (HI)</w:t>
            </w:r>
          </w:p>
        </w:tc>
      </w:tr>
      <w:tr w:rsidR="00290180" w14:paraId="3AB78E96" w14:textId="77777777" w:rsidTr="00B043CA">
        <w:trPr>
          <w:trHeight w:val="315"/>
        </w:trPr>
        <w:tc>
          <w:tcPr>
            <w:tcW w:w="2266" w:type="dxa"/>
            <w:tcBorders>
              <w:top w:val="single" w:sz="6" w:space="0" w:color="CCCCCC"/>
              <w:left w:val="single" w:sz="6" w:space="0" w:color="000000"/>
              <w:bottom w:val="single" w:sz="6" w:space="0" w:color="000000"/>
              <w:right w:val="single" w:sz="6" w:space="0" w:color="000000"/>
            </w:tcBorders>
            <w:shd w:val="clear" w:color="auto" w:fill="DDD9C3" w:themeFill="background2" w:themeFillShade="E6"/>
            <w:tcMar>
              <w:top w:w="40" w:type="dxa"/>
              <w:left w:w="40" w:type="dxa"/>
              <w:bottom w:w="40" w:type="dxa"/>
              <w:right w:w="40" w:type="dxa"/>
            </w:tcMar>
            <w:vAlign w:val="bottom"/>
          </w:tcPr>
          <w:p w14:paraId="074FC7CA" w14:textId="77777777" w:rsidR="00290180" w:rsidRDefault="00000000">
            <w:pPr>
              <w:widowControl w:val="0"/>
              <w:jc w:val="center"/>
              <w:rPr>
                <w:sz w:val="20"/>
                <w:szCs w:val="20"/>
              </w:rPr>
            </w:pPr>
            <w:r>
              <w:rPr>
                <w:sz w:val="20"/>
                <w:szCs w:val="20"/>
              </w:rPr>
              <w:t>Q1</w:t>
            </w:r>
          </w:p>
        </w:tc>
        <w:tc>
          <w:tcPr>
            <w:tcW w:w="26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AB031F4" w14:textId="77777777" w:rsidR="00290180" w:rsidRDefault="00000000">
            <w:pPr>
              <w:widowControl w:val="0"/>
              <w:jc w:val="center"/>
              <w:rPr>
                <w:sz w:val="20"/>
                <w:szCs w:val="20"/>
              </w:rPr>
            </w:pPr>
            <w:r>
              <w:rPr>
                <w:sz w:val="20"/>
                <w:szCs w:val="20"/>
              </w:rPr>
              <w:t>20.4</w:t>
            </w:r>
          </w:p>
        </w:tc>
        <w:tc>
          <w:tcPr>
            <w:tcW w:w="23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4791F80" w14:textId="77777777" w:rsidR="00290180" w:rsidRDefault="00000000">
            <w:pPr>
              <w:widowControl w:val="0"/>
              <w:jc w:val="center"/>
              <w:rPr>
                <w:sz w:val="20"/>
                <w:szCs w:val="20"/>
              </w:rPr>
            </w:pPr>
            <w:r>
              <w:rPr>
                <w:sz w:val="20"/>
                <w:szCs w:val="20"/>
              </w:rPr>
              <w:t>6.7</w:t>
            </w:r>
          </w:p>
        </w:tc>
        <w:tc>
          <w:tcPr>
            <w:tcW w:w="17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5BA64BD" w14:textId="77777777" w:rsidR="00290180" w:rsidRDefault="00000000">
            <w:pPr>
              <w:widowControl w:val="0"/>
              <w:jc w:val="center"/>
              <w:rPr>
                <w:sz w:val="20"/>
                <w:szCs w:val="20"/>
              </w:rPr>
            </w:pPr>
            <w:r>
              <w:rPr>
                <w:sz w:val="20"/>
                <w:szCs w:val="20"/>
              </w:rPr>
              <w:t>3.6</w:t>
            </w:r>
          </w:p>
        </w:tc>
      </w:tr>
      <w:tr w:rsidR="00290180" w14:paraId="7DB50DE9" w14:textId="77777777" w:rsidTr="00B043CA">
        <w:trPr>
          <w:trHeight w:val="315"/>
        </w:trPr>
        <w:tc>
          <w:tcPr>
            <w:tcW w:w="2266" w:type="dxa"/>
            <w:tcBorders>
              <w:top w:val="single" w:sz="6" w:space="0" w:color="CCCCCC"/>
              <w:left w:val="single" w:sz="6" w:space="0" w:color="000000"/>
              <w:bottom w:val="single" w:sz="6" w:space="0" w:color="000000"/>
              <w:right w:val="single" w:sz="6" w:space="0" w:color="000000"/>
            </w:tcBorders>
            <w:shd w:val="clear" w:color="auto" w:fill="DDD9C3" w:themeFill="background2" w:themeFillShade="E6"/>
            <w:tcMar>
              <w:top w:w="40" w:type="dxa"/>
              <w:left w:w="40" w:type="dxa"/>
              <w:bottom w:w="40" w:type="dxa"/>
              <w:right w:w="40" w:type="dxa"/>
            </w:tcMar>
            <w:vAlign w:val="bottom"/>
          </w:tcPr>
          <w:p w14:paraId="2EE5E7DC" w14:textId="77777777" w:rsidR="00290180" w:rsidRDefault="00000000">
            <w:pPr>
              <w:widowControl w:val="0"/>
              <w:jc w:val="center"/>
              <w:rPr>
                <w:sz w:val="20"/>
                <w:szCs w:val="20"/>
              </w:rPr>
            </w:pPr>
            <w:r>
              <w:rPr>
                <w:sz w:val="20"/>
                <w:szCs w:val="20"/>
              </w:rPr>
              <w:t>Q3</w:t>
            </w:r>
          </w:p>
        </w:tc>
        <w:tc>
          <w:tcPr>
            <w:tcW w:w="26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4FCB4D2" w14:textId="77777777" w:rsidR="00290180" w:rsidRDefault="00000000">
            <w:pPr>
              <w:widowControl w:val="0"/>
              <w:jc w:val="center"/>
              <w:rPr>
                <w:sz w:val="20"/>
                <w:szCs w:val="20"/>
              </w:rPr>
            </w:pPr>
            <w:r>
              <w:rPr>
                <w:sz w:val="20"/>
                <w:szCs w:val="20"/>
              </w:rPr>
              <w:t>25.3</w:t>
            </w:r>
          </w:p>
        </w:tc>
        <w:tc>
          <w:tcPr>
            <w:tcW w:w="23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DB1A439" w14:textId="77777777" w:rsidR="00290180" w:rsidRDefault="00000000">
            <w:pPr>
              <w:widowControl w:val="0"/>
              <w:jc w:val="center"/>
              <w:rPr>
                <w:sz w:val="20"/>
                <w:szCs w:val="20"/>
              </w:rPr>
            </w:pPr>
            <w:r>
              <w:rPr>
                <w:sz w:val="20"/>
                <w:szCs w:val="20"/>
              </w:rPr>
              <w:t>20.9</w:t>
            </w:r>
          </w:p>
        </w:tc>
        <w:tc>
          <w:tcPr>
            <w:tcW w:w="17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2F5E092" w14:textId="77777777" w:rsidR="00290180" w:rsidRDefault="00000000">
            <w:pPr>
              <w:widowControl w:val="0"/>
              <w:jc w:val="center"/>
              <w:rPr>
                <w:sz w:val="20"/>
                <w:szCs w:val="20"/>
              </w:rPr>
            </w:pPr>
            <w:r>
              <w:rPr>
                <w:sz w:val="20"/>
                <w:szCs w:val="20"/>
              </w:rPr>
              <w:t>4.7</w:t>
            </w:r>
          </w:p>
        </w:tc>
      </w:tr>
      <w:tr w:rsidR="00290180" w14:paraId="39E22CB2" w14:textId="77777777" w:rsidTr="00B043CA">
        <w:trPr>
          <w:trHeight w:val="315"/>
        </w:trPr>
        <w:tc>
          <w:tcPr>
            <w:tcW w:w="2266" w:type="dxa"/>
            <w:tcBorders>
              <w:top w:val="single" w:sz="6" w:space="0" w:color="CCCCCC"/>
              <w:left w:val="single" w:sz="6" w:space="0" w:color="000000"/>
              <w:bottom w:val="single" w:sz="6" w:space="0" w:color="000000"/>
              <w:right w:val="single" w:sz="6" w:space="0" w:color="000000"/>
            </w:tcBorders>
            <w:shd w:val="clear" w:color="auto" w:fill="DDD9C3" w:themeFill="background2" w:themeFillShade="E6"/>
            <w:tcMar>
              <w:top w:w="40" w:type="dxa"/>
              <w:left w:w="40" w:type="dxa"/>
              <w:bottom w:w="40" w:type="dxa"/>
              <w:right w:w="40" w:type="dxa"/>
            </w:tcMar>
            <w:vAlign w:val="bottom"/>
          </w:tcPr>
          <w:p w14:paraId="25E3B1C9" w14:textId="77777777" w:rsidR="00290180" w:rsidRDefault="00000000">
            <w:pPr>
              <w:widowControl w:val="0"/>
              <w:jc w:val="center"/>
              <w:rPr>
                <w:sz w:val="20"/>
                <w:szCs w:val="20"/>
              </w:rPr>
            </w:pPr>
            <w:r>
              <w:rPr>
                <w:sz w:val="20"/>
                <w:szCs w:val="20"/>
              </w:rPr>
              <w:t>IQR</w:t>
            </w:r>
          </w:p>
        </w:tc>
        <w:tc>
          <w:tcPr>
            <w:tcW w:w="26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B283587" w14:textId="77777777" w:rsidR="00290180" w:rsidRDefault="00000000">
            <w:pPr>
              <w:widowControl w:val="0"/>
              <w:jc w:val="center"/>
              <w:rPr>
                <w:sz w:val="20"/>
                <w:szCs w:val="20"/>
              </w:rPr>
            </w:pPr>
            <w:r>
              <w:rPr>
                <w:sz w:val="20"/>
                <w:szCs w:val="20"/>
              </w:rPr>
              <w:t>4.9</w:t>
            </w:r>
          </w:p>
        </w:tc>
        <w:tc>
          <w:tcPr>
            <w:tcW w:w="23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09A36C9" w14:textId="77777777" w:rsidR="00290180" w:rsidRDefault="00000000">
            <w:pPr>
              <w:widowControl w:val="0"/>
              <w:jc w:val="center"/>
              <w:rPr>
                <w:sz w:val="20"/>
                <w:szCs w:val="20"/>
              </w:rPr>
            </w:pPr>
            <w:r>
              <w:rPr>
                <w:sz w:val="20"/>
                <w:szCs w:val="20"/>
              </w:rPr>
              <w:t>14.2</w:t>
            </w:r>
          </w:p>
        </w:tc>
        <w:tc>
          <w:tcPr>
            <w:tcW w:w="17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734A671" w14:textId="77777777" w:rsidR="00290180" w:rsidRDefault="00000000">
            <w:pPr>
              <w:widowControl w:val="0"/>
              <w:jc w:val="center"/>
              <w:rPr>
                <w:sz w:val="20"/>
                <w:szCs w:val="20"/>
              </w:rPr>
            </w:pPr>
            <w:r>
              <w:rPr>
                <w:sz w:val="20"/>
                <w:szCs w:val="20"/>
              </w:rPr>
              <w:t>1.1</w:t>
            </w:r>
          </w:p>
        </w:tc>
      </w:tr>
      <w:tr w:rsidR="00290180" w14:paraId="48F25298" w14:textId="77777777" w:rsidTr="00B043CA">
        <w:trPr>
          <w:trHeight w:val="315"/>
        </w:trPr>
        <w:tc>
          <w:tcPr>
            <w:tcW w:w="2266" w:type="dxa"/>
            <w:tcBorders>
              <w:top w:val="single" w:sz="6" w:space="0" w:color="CCCCCC"/>
              <w:left w:val="single" w:sz="6" w:space="0" w:color="000000"/>
              <w:bottom w:val="single" w:sz="6" w:space="0" w:color="000000"/>
              <w:right w:val="single" w:sz="6" w:space="0" w:color="000000"/>
            </w:tcBorders>
            <w:shd w:val="clear" w:color="auto" w:fill="DDD9C3" w:themeFill="background2" w:themeFillShade="E6"/>
            <w:tcMar>
              <w:top w:w="40" w:type="dxa"/>
              <w:left w:w="40" w:type="dxa"/>
              <w:bottom w:w="40" w:type="dxa"/>
              <w:right w:w="40" w:type="dxa"/>
            </w:tcMar>
            <w:vAlign w:val="bottom"/>
          </w:tcPr>
          <w:p w14:paraId="34D97504" w14:textId="77777777" w:rsidR="00290180" w:rsidRDefault="00000000">
            <w:pPr>
              <w:widowControl w:val="0"/>
              <w:jc w:val="center"/>
              <w:rPr>
                <w:sz w:val="20"/>
                <w:szCs w:val="20"/>
              </w:rPr>
            </w:pPr>
            <w:r>
              <w:rPr>
                <w:sz w:val="20"/>
                <w:szCs w:val="20"/>
              </w:rPr>
              <w:t>Upper Limit</w:t>
            </w:r>
          </w:p>
        </w:tc>
        <w:tc>
          <w:tcPr>
            <w:tcW w:w="26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56AF7D1" w14:textId="77777777" w:rsidR="00290180" w:rsidRDefault="00000000">
            <w:pPr>
              <w:widowControl w:val="0"/>
              <w:jc w:val="center"/>
              <w:rPr>
                <w:sz w:val="20"/>
                <w:szCs w:val="20"/>
              </w:rPr>
            </w:pPr>
            <w:r>
              <w:rPr>
                <w:sz w:val="20"/>
                <w:szCs w:val="20"/>
              </w:rPr>
              <w:t>32.65</w:t>
            </w:r>
          </w:p>
        </w:tc>
        <w:tc>
          <w:tcPr>
            <w:tcW w:w="23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3B1CCD7" w14:textId="77777777" w:rsidR="00290180" w:rsidRDefault="00000000">
            <w:pPr>
              <w:widowControl w:val="0"/>
              <w:jc w:val="center"/>
              <w:rPr>
                <w:sz w:val="20"/>
                <w:szCs w:val="20"/>
              </w:rPr>
            </w:pPr>
            <w:r>
              <w:rPr>
                <w:sz w:val="20"/>
                <w:szCs w:val="20"/>
              </w:rPr>
              <w:t>42.2</w:t>
            </w:r>
          </w:p>
        </w:tc>
        <w:tc>
          <w:tcPr>
            <w:tcW w:w="17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70C2BA0" w14:textId="77777777" w:rsidR="00290180" w:rsidRDefault="00000000">
            <w:pPr>
              <w:widowControl w:val="0"/>
              <w:jc w:val="center"/>
              <w:rPr>
                <w:sz w:val="20"/>
                <w:szCs w:val="20"/>
              </w:rPr>
            </w:pPr>
            <w:r>
              <w:rPr>
                <w:sz w:val="20"/>
                <w:szCs w:val="20"/>
              </w:rPr>
              <w:t>6.35</w:t>
            </w:r>
          </w:p>
        </w:tc>
      </w:tr>
      <w:tr w:rsidR="00290180" w14:paraId="208EE02B" w14:textId="77777777" w:rsidTr="00B043CA">
        <w:trPr>
          <w:trHeight w:val="315"/>
        </w:trPr>
        <w:tc>
          <w:tcPr>
            <w:tcW w:w="2266" w:type="dxa"/>
            <w:tcBorders>
              <w:top w:val="single" w:sz="6" w:space="0" w:color="CCCCCC"/>
              <w:left w:val="single" w:sz="6" w:space="0" w:color="000000"/>
              <w:bottom w:val="single" w:sz="6" w:space="0" w:color="000000"/>
              <w:right w:val="single" w:sz="6" w:space="0" w:color="000000"/>
            </w:tcBorders>
            <w:shd w:val="clear" w:color="auto" w:fill="DDD9C3" w:themeFill="background2" w:themeFillShade="E6"/>
            <w:tcMar>
              <w:top w:w="40" w:type="dxa"/>
              <w:left w:w="40" w:type="dxa"/>
              <w:bottom w:w="40" w:type="dxa"/>
              <w:right w:w="40" w:type="dxa"/>
            </w:tcMar>
            <w:vAlign w:val="bottom"/>
          </w:tcPr>
          <w:p w14:paraId="13577746" w14:textId="77777777" w:rsidR="00290180" w:rsidRDefault="00000000">
            <w:pPr>
              <w:widowControl w:val="0"/>
              <w:jc w:val="center"/>
              <w:rPr>
                <w:sz w:val="20"/>
                <w:szCs w:val="20"/>
              </w:rPr>
            </w:pPr>
            <w:r>
              <w:rPr>
                <w:sz w:val="20"/>
                <w:szCs w:val="20"/>
              </w:rPr>
              <w:t>Lower Limit</w:t>
            </w:r>
          </w:p>
        </w:tc>
        <w:tc>
          <w:tcPr>
            <w:tcW w:w="26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877B0B" w14:textId="77777777" w:rsidR="00290180" w:rsidRDefault="00000000">
            <w:pPr>
              <w:widowControl w:val="0"/>
              <w:jc w:val="center"/>
              <w:rPr>
                <w:sz w:val="20"/>
                <w:szCs w:val="20"/>
              </w:rPr>
            </w:pPr>
            <w:r>
              <w:rPr>
                <w:sz w:val="20"/>
                <w:szCs w:val="20"/>
              </w:rPr>
              <w:t>13.05</w:t>
            </w:r>
          </w:p>
        </w:tc>
        <w:tc>
          <w:tcPr>
            <w:tcW w:w="23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881AD4" w14:textId="77777777" w:rsidR="00290180" w:rsidRDefault="00000000">
            <w:pPr>
              <w:widowControl w:val="0"/>
              <w:jc w:val="center"/>
              <w:rPr>
                <w:sz w:val="20"/>
                <w:szCs w:val="20"/>
              </w:rPr>
            </w:pPr>
            <w:r>
              <w:rPr>
                <w:sz w:val="20"/>
                <w:szCs w:val="20"/>
              </w:rPr>
              <w:t>-14.6</w:t>
            </w:r>
          </w:p>
        </w:tc>
        <w:tc>
          <w:tcPr>
            <w:tcW w:w="17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D7A1BF3" w14:textId="77777777" w:rsidR="00290180" w:rsidRDefault="00000000">
            <w:pPr>
              <w:widowControl w:val="0"/>
              <w:jc w:val="center"/>
              <w:rPr>
                <w:sz w:val="20"/>
                <w:szCs w:val="20"/>
              </w:rPr>
            </w:pPr>
            <w:r>
              <w:rPr>
                <w:sz w:val="20"/>
                <w:szCs w:val="20"/>
              </w:rPr>
              <w:t>1.95</w:t>
            </w:r>
          </w:p>
        </w:tc>
      </w:tr>
      <w:tr w:rsidR="00290180" w14:paraId="609CF766" w14:textId="77777777" w:rsidTr="00B043CA">
        <w:trPr>
          <w:trHeight w:val="315"/>
        </w:trPr>
        <w:tc>
          <w:tcPr>
            <w:tcW w:w="2266" w:type="dxa"/>
            <w:tcBorders>
              <w:top w:val="single" w:sz="6" w:space="0" w:color="CCCCCC"/>
              <w:left w:val="single" w:sz="6" w:space="0" w:color="000000"/>
              <w:bottom w:val="single" w:sz="6" w:space="0" w:color="000000"/>
              <w:right w:val="single" w:sz="6" w:space="0" w:color="000000"/>
            </w:tcBorders>
            <w:shd w:val="clear" w:color="auto" w:fill="DDD9C3" w:themeFill="background2" w:themeFillShade="E6"/>
            <w:tcMar>
              <w:top w:w="40" w:type="dxa"/>
              <w:left w:w="40" w:type="dxa"/>
              <w:bottom w:w="40" w:type="dxa"/>
              <w:right w:w="40" w:type="dxa"/>
            </w:tcMar>
            <w:vAlign w:val="bottom"/>
          </w:tcPr>
          <w:p w14:paraId="243A8F84" w14:textId="77777777" w:rsidR="00290180" w:rsidRDefault="00000000">
            <w:pPr>
              <w:widowControl w:val="0"/>
              <w:jc w:val="center"/>
              <w:rPr>
                <w:sz w:val="20"/>
                <w:szCs w:val="20"/>
              </w:rPr>
            </w:pPr>
            <w:r>
              <w:rPr>
                <w:sz w:val="20"/>
                <w:szCs w:val="20"/>
              </w:rPr>
              <w:t>Outliers</w:t>
            </w:r>
          </w:p>
        </w:tc>
        <w:tc>
          <w:tcPr>
            <w:tcW w:w="26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5A06FC6" w14:textId="1B99B8EF" w:rsidR="00290180" w:rsidRPr="00EA40B2" w:rsidRDefault="00EA40B2">
            <w:pPr>
              <w:widowControl w:val="0"/>
              <w:jc w:val="center"/>
              <w:rPr>
                <w:sz w:val="20"/>
                <w:szCs w:val="20"/>
                <w:lang w:val="en-US"/>
              </w:rPr>
            </w:pPr>
            <w:r>
              <w:rPr>
                <w:sz w:val="20"/>
                <w:szCs w:val="20"/>
                <w:lang w:val="en-US"/>
              </w:rPr>
              <w:t>No</w:t>
            </w:r>
          </w:p>
        </w:tc>
        <w:tc>
          <w:tcPr>
            <w:tcW w:w="23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6ED014F" w14:textId="4D29A8BF" w:rsidR="00290180" w:rsidRPr="00EA40B2" w:rsidRDefault="00EA40B2">
            <w:pPr>
              <w:widowControl w:val="0"/>
              <w:jc w:val="center"/>
              <w:rPr>
                <w:sz w:val="20"/>
                <w:szCs w:val="20"/>
                <w:lang w:val="en-US"/>
              </w:rPr>
            </w:pPr>
            <w:r>
              <w:rPr>
                <w:sz w:val="20"/>
                <w:szCs w:val="20"/>
                <w:lang w:val="en-US"/>
              </w:rPr>
              <w:t>No</w:t>
            </w:r>
          </w:p>
        </w:tc>
        <w:tc>
          <w:tcPr>
            <w:tcW w:w="17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D57E945" w14:textId="0B6B3FE9" w:rsidR="00290180" w:rsidRPr="00EA40B2" w:rsidRDefault="00EA40B2">
            <w:pPr>
              <w:widowControl w:val="0"/>
              <w:jc w:val="center"/>
              <w:rPr>
                <w:sz w:val="20"/>
                <w:szCs w:val="20"/>
                <w:lang w:val="en-US"/>
              </w:rPr>
            </w:pPr>
            <w:r>
              <w:rPr>
                <w:sz w:val="20"/>
                <w:szCs w:val="20"/>
                <w:lang w:val="en-US"/>
              </w:rPr>
              <w:t>Yes</w:t>
            </w:r>
          </w:p>
        </w:tc>
      </w:tr>
    </w:tbl>
    <w:p w14:paraId="00CBDD4C" w14:textId="61420D2E" w:rsidR="00290180" w:rsidRDefault="00000000" w:rsidP="00B043CA">
      <w:pPr>
        <w:spacing w:line="360" w:lineRule="auto"/>
        <w:ind w:firstLine="720"/>
        <w:jc w:val="center"/>
      </w:pPr>
      <w:r w:rsidRPr="00B043CA">
        <w:rPr>
          <w:b/>
          <w:bCs/>
          <w:i/>
          <w:iCs/>
        </w:rPr>
        <w:t>Table 4</w:t>
      </w:r>
      <w:r>
        <w:t>: Table for calculating quartiles, upper and lower limit and identifying outliers of neonatal mortality rate.</w:t>
      </w:r>
    </w:p>
    <w:p w14:paraId="27F56CE6" w14:textId="0F45AFD0" w:rsidR="00290180" w:rsidRDefault="00EA40B2">
      <w:pPr>
        <w:numPr>
          <w:ilvl w:val="0"/>
          <w:numId w:val="13"/>
        </w:numPr>
        <w:spacing w:line="360" w:lineRule="auto"/>
      </w:pPr>
      <w:r>
        <w:rPr>
          <w:lang w:val="en-US"/>
        </w:rPr>
        <w:t>T</w:t>
      </w:r>
      <w:r w:rsidR="00000000">
        <w:t>he mean cannot be considered an accurate measure of central tendency because it is highly sensitive to outliers and counts all data points (</w:t>
      </w:r>
      <w:proofErr w:type="gramStart"/>
      <w:r w:rsidR="00000000">
        <w:t>J.Pharmacol</w:t>
      </w:r>
      <w:proofErr w:type="gramEnd"/>
      <w:r w:rsidR="00000000">
        <w:t>, 2011). In contrast, the median is regarded as the ideal statistic for skewed distributions since it is less affected by extreme values. In contrast, mode cannot be used for comparison because neither low- nor high-GNI nations have specified modes</w:t>
      </w:r>
      <w:r w:rsidR="00723525">
        <w:rPr>
          <w:lang w:val="en-US"/>
        </w:rPr>
        <w:t xml:space="preserve"> </w:t>
      </w:r>
      <w:r w:rsidR="00000000">
        <w:t>(Table 4). Based on table 3, we may deduce that countries with low GNI have a greater neonatal death rate, whereas middle- and high-income countries maintain a lower rate. 50% in the Low GNI group have a median newborn mortality rate of 21,70 per 1000 live births. While 50% of the Middle and High GNI groups had only 11.50 and 4.10 deaths per 1,000 live births, respectively.</w:t>
      </w:r>
    </w:p>
    <w:p w14:paraId="0D5F878E" w14:textId="77777777" w:rsidR="00290180" w:rsidRDefault="00000000">
      <w:pPr>
        <w:numPr>
          <w:ilvl w:val="0"/>
          <w:numId w:val="18"/>
        </w:numPr>
        <w:spacing w:line="360" w:lineRule="auto"/>
      </w:pPr>
      <w:r>
        <w:lastRenderedPageBreak/>
        <w:t>Variation</w:t>
      </w:r>
    </w:p>
    <w:tbl>
      <w:tblPr>
        <w:tblW w:w="9220" w:type="dxa"/>
        <w:tblLook w:val="04A0" w:firstRow="1" w:lastRow="0" w:firstColumn="1" w:lastColumn="0" w:noHBand="0" w:noVBand="1"/>
      </w:tblPr>
      <w:tblGrid>
        <w:gridCol w:w="2800"/>
        <w:gridCol w:w="2220"/>
        <w:gridCol w:w="2320"/>
        <w:gridCol w:w="1880"/>
      </w:tblGrid>
      <w:tr w:rsidR="00B043CA" w14:paraId="6808F6A3" w14:textId="77777777" w:rsidTr="00B85E4E">
        <w:trPr>
          <w:trHeight w:val="315"/>
        </w:trPr>
        <w:tc>
          <w:tcPr>
            <w:tcW w:w="2800" w:type="dxa"/>
            <w:tcBorders>
              <w:top w:val="single" w:sz="8" w:space="0" w:color="auto"/>
              <w:left w:val="single" w:sz="8" w:space="0" w:color="auto"/>
              <w:bottom w:val="single" w:sz="4" w:space="0" w:color="000000"/>
              <w:right w:val="single" w:sz="4" w:space="0" w:color="000000"/>
            </w:tcBorders>
            <w:shd w:val="clear" w:color="auto" w:fill="B8CCE4" w:themeFill="accent1" w:themeFillTint="66"/>
            <w:noWrap/>
            <w:vAlign w:val="bottom"/>
            <w:hideMark/>
          </w:tcPr>
          <w:p w14:paraId="70E97F23" w14:textId="77777777" w:rsidR="00B043CA" w:rsidRDefault="00B043CA">
            <w:pPr>
              <w:jc w:val="center"/>
              <w:rPr>
                <w:color w:val="000000"/>
              </w:rPr>
            </w:pPr>
            <w:r>
              <w:rPr>
                <w:color w:val="000000"/>
              </w:rPr>
              <w:t> </w:t>
            </w:r>
          </w:p>
        </w:tc>
        <w:tc>
          <w:tcPr>
            <w:tcW w:w="2220" w:type="dxa"/>
            <w:tcBorders>
              <w:top w:val="single" w:sz="8" w:space="0" w:color="auto"/>
              <w:left w:val="nil"/>
              <w:bottom w:val="single" w:sz="4" w:space="0" w:color="000000"/>
              <w:right w:val="single" w:sz="4" w:space="0" w:color="000000"/>
            </w:tcBorders>
            <w:shd w:val="clear" w:color="auto" w:fill="B8CCE4" w:themeFill="accent1" w:themeFillTint="66"/>
            <w:noWrap/>
            <w:vAlign w:val="bottom"/>
            <w:hideMark/>
          </w:tcPr>
          <w:p w14:paraId="48BF679D" w14:textId="77777777" w:rsidR="00B043CA" w:rsidRDefault="00B043CA">
            <w:pPr>
              <w:jc w:val="center"/>
              <w:rPr>
                <w:color w:val="000000"/>
              </w:rPr>
            </w:pPr>
            <w:r>
              <w:rPr>
                <w:color w:val="000000"/>
              </w:rPr>
              <w:t>Low-Income (LI)</w:t>
            </w:r>
          </w:p>
        </w:tc>
        <w:tc>
          <w:tcPr>
            <w:tcW w:w="2320" w:type="dxa"/>
            <w:tcBorders>
              <w:top w:val="single" w:sz="8" w:space="0" w:color="auto"/>
              <w:left w:val="nil"/>
              <w:bottom w:val="single" w:sz="4" w:space="0" w:color="000000"/>
              <w:right w:val="single" w:sz="4" w:space="0" w:color="000000"/>
            </w:tcBorders>
            <w:shd w:val="clear" w:color="auto" w:fill="B8CCE4" w:themeFill="accent1" w:themeFillTint="66"/>
            <w:noWrap/>
            <w:vAlign w:val="bottom"/>
            <w:hideMark/>
          </w:tcPr>
          <w:p w14:paraId="71F6BC49" w14:textId="77777777" w:rsidR="00B043CA" w:rsidRDefault="00B043CA">
            <w:pPr>
              <w:jc w:val="center"/>
              <w:rPr>
                <w:color w:val="000000"/>
              </w:rPr>
            </w:pPr>
            <w:r>
              <w:rPr>
                <w:color w:val="000000"/>
              </w:rPr>
              <w:t>Middle-Income (MI)</w:t>
            </w:r>
          </w:p>
        </w:tc>
        <w:tc>
          <w:tcPr>
            <w:tcW w:w="1880" w:type="dxa"/>
            <w:tcBorders>
              <w:top w:val="single" w:sz="8" w:space="0" w:color="auto"/>
              <w:left w:val="nil"/>
              <w:bottom w:val="single" w:sz="4" w:space="0" w:color="000000"/>
              <w:right w:val="single" w:sz="8" w:space="0" w:color="auto"/>
            </w:tcBorders>
            <w:shd w:val="clear" w:color="auto" w:fill="B8CCE4" w:themeFill="accent1" w:themeFillTint="66"/>
            <w:noWrap/>
            <w:vAlign w:val="bottom"/>
            <w:hideMark/>
          </w:tcPr>
          <w:p w14:paraId="21A23CF3" w14:textId="77777777" w:rsidR="00B043CA" w:rsidRDefault="00B043CA">
            <w:pPr>
              <w:jc w:val="center"/>
              <w:rPr>
                <w:color w:val="000000"/>
              </w:rPr>
            </w:pPr>
            <w:r>
              <w:rPr>
                <w:color w:val="000000"/>
              </w:rPr>
              <w:t>High-Income (HI)</w:t>
            </w:r>
          </w:p>
        </w:tc>
      </w:tr>
      <w:tr w:rsidR="00B043CA" w14:paraId="40290C97" w14:textId="77777777" w:rsidTr="00B043CA">
        <w:trPr>
          <w:trHeight w:val="315"/>
        </w:trPr>
        <w:tc>
          <w:tcPr>
            <w:tcW w:w="2800" w:type="dxa"/>
            <w:tcBorders>
              <w:top w:val="nil"/>
              <w:left w:val="single" w:sz="8" w:space="0" w:color="auto"/>
              <w:bottom w:val="single" w:sz="4" w:space="0" w:color="000000"/>
              <w:right w:val="single" w:sz="4" w:space="0" w:color="000000"/>
            </w:tcBorders>
            <w:shd w:val="clear" w:color="auto" w:fill="DDD9C3" w:themeFill="background2" w:themeFillShade="E6"/>
            <w:noWrap/>
            <w:vAlign w:val="bottom"/>
            <w:hideMark/>
          </w:tcPr>
          <w:p w14:paraId="3AEACC8B" w14:textId="77777777" w:rsidR="00B043CA" w:rsidRDefault="00B043CA">
            <w:pPr>
              <w:jc w:val="center"/>
              <w:rPr>
                <w:color w:val="000000"/>
              </w:rPr>
            </w:pPr>
            <w:r>
              <w:rPr>
                <w:color w:val="000000"/>
              </w:rPr>
              <w:t>Range</w:t>
            </w:r>
          </w:p>
        </w:tc>
        <w:tc>
          <w:tcPr>
            <w:tcW w:w="2220" w:type="dxa"/>
            <w:tcBorders>
              <w:top w:val="nil"/>
              <w:left w:val="nil"/>
              <w:bottom w:val="single" w:sz="4" w:space="0" w:color="000000"/>
              <w:right w:val="single" w:sz="4" w:space="0" w:color="000000"/>
            </w:tcBorders>
            <w:shd w:val="clear" w:color="auto" w:fill="auto"/>
            <w:noWrap/>
            <w:vAlign w:val="bottom"/>
            <w:hideMark/>
          </w:tcPr>
          <w:p w14:paraId="5CB5B79A" w14:textId="77777777" w:rsidR="00B043CA" w:rsidRDefault="00B043CA">
            <w:pPr>
              <w:jc w:val="center"/>
              <w:rPr>
                <w:color w:val="000000"/>
              </w:rPr>
            </w:pPr>
            <w:r>
              <w:rPr>
                <w:color w:val="000000"/>
              </w:rPr>
              <w:t xml:space="preserve">                         11.60 </w:t>
            </w:r>
          </w:p>
        </w:tc>
        <w:tc>
          <w:tcPr>
            <w:tcW w:w="2320" w:type="dxa"/>
            <w:tcBorders>
              <w:top w:val="nil"/>
              <w:left w:val="nil"/>
              <w:bottom w:val="single" w:sz="4" w:space="0" w:color="000000"/>
              <w:right w:val="single" w:sz="4" w:space="0" w:color="000000"/>
            </w:tcBorders>
            <w:shd w:val="clear" w:color="auto" w:fill="auto"/>
            <w:noWrap/>
            <w:vAlign w:val="bottom"/>
            <w:hideMark/>
          </w:tcPr>
          <w:p w14:paraId="4251773F" w14:textId="77777777" w:rsidR="00B043CA" w:rsidRDefault="00B043CA">
            <w:pPr>
              <w:jc w:val="center"/>
              <w:rPr>
                <w:color w:val="000000"/>
              </w:rPr>
            </w:pPr>
            <w:r>
              <w:rPr>
                <w:color w:val="000000"/>
              </w:rPr>
              <w:t xml:space="preserve">                           18.70 </w:t>
            </w:r>
          </w:p>
        </w:tc>
        <w:tc>
          <w:tcPr>
            <w:tcW w:w="1880" w:type="dxa"/>
            <w:tcBorders>
              <w:top w:val="nil"/>
              <w:left w:val="nil"/>
              <w:bottom w:val="single" w:sz="4" w:space="0" w:color="000000"/>
              <w:right w:val="single" w:sz="8" w:space="0" w:color="auto"/>
            </w:tcBorders>
            <w:shd w:val="clear" w:color="auto" w:fill="auto"/>
            <w:noWrap/>
            <w:vAlign w:val="bottom"/>
            <w:hideMark/>
          </w:tcPr>
          <w:p w14:paraId="4A587FBB" w14:textId="77777777" w:rsidR="00B043CA" w:rsidRDefault="00B043CA">
            <w:pPr>
              <w:jc w:val="center"/>
              <w:rPr>
                <w:color w:val="000000"/>
              </w:rPr>
            </w:pPr>
            <w:r>
              <w:rPr>
                <w:color w:val="000000"/>
              </w:rPr>
              <w:t xml:space="preserve">                     9.50 </w:t>
            </w:r>
          </w:p>
        </w:tc>
      </w:tr>
      <w:tr w:rsidR="00B043CA" w14:paraId="19B7A35A" w14:textId="77777777" w:rsidTr="00B043CA">
        <w:trPr>
          <w:trHeight w:val="320"/>
        </w:trPr>
        <w:tc>
          <w:tcPr>
            <w:tcW w:w="2800" w:type="dxa"/>
            <w:tcBorders>
              <w:top w:val="nil"/>
              <w:left w:val="single" w:sz="8" w:space="0" w:color="auto"/>
              <w:bottom w:val="single" w:sz="4" w:space="0" w:color="000000"/>
              <w:right w:val="single" w:sz="4" w:space="0" w:color="000000"/>
            </w:tcBorders>
            <w:shd w:val="clear" w:color="auto" w:fill="DDD9C3" w:themeFill="background2" w:themeFillShade="E6"/>
            <w:noWrap/>
            <w:vAlign w:val="bottom"/>
            <w:hideMark/>
          </w:tcPr>
          <w:p w14:paraId="01D4C6AA" w14:textId="77777777" w:rsidR="00B043CA" w:rsidRDefault="00B043CA">
            <w:pPr>
              <w:jc w:val="center"/>
              <w:rPr>
                <w:color w:val="000000"/>
              </w:rPr>
            </w:pPr>
            <w:r>
              <w:rPr>
                <w:color w:val="000000"/>
              </w:rPr>
              <w:t>IQR</w:t>
            </w:r>
          </w:p>
        </w:tc>
        <w:tc>
          <w:tcPr>
            <w:tcW w:w="2220" w:type="dxa"/>
            <w:tcBorders>
              <w:top w:val="nil"/>
              <w:left w:val="nil"/>
              <w:bottom w:val="single" w:sz="4" w:space="0" w:color="000000"/>
              <w:right w:val="single" w:sz="4" w:space="0" w:color="000000"/>
            </w:tcBorders>
            <w:shd w:val="clear" w:color="auto" w:fill="auto"/>
            <w:noWrap/>
            <w:vAlign w:val="bottom"/>
            <w:hideMark/>
          </w:tcPr>
          <w:p w14:paraId="5AD61803" w14:textId="77777777" w:rsidR="00B043CA" w:rsidRDefault="00B043CA">
            <w:pPr>
              <w:jc w:val="center"/>
              <w:rPr>
                <w:color w:val="000000"/>
              </w:rPr>
            </w:pPr>
            <w:r>
              <w:rPr>
                <w:color w:val="000000"/>
              </w:rPr>
              <w:t>4.9</w:t>
            </w:r>
          </w:p>
        </w:tc>
        <w:tc>
          <w:tcPr>
            <w:tcW w:w="2320" w:type="dxa"/>
            <w:tcBorders>
              <w:top w:val="nil"/>
              <w:left w:val="nil"/>
              <w:bottom w:val="single" w:sz="4" w:space="0" w:color="000000"/>
              <w:right w:val="single" w:sz="4" w:space="0" w:color="000000"/>
            </w:tcBorders>
            <w:shd w:val="clear" w:color="auto" w:fill="auto"/>
            <w:noWrap/>
            <w:vAlign w:val="bottom"/>
            <w:hideMark/>
          </w:tcPr>
          <w:p w14:paraId="62640408" w14:textId="77777777" w:rsidR="00B043CA" w:rsidRDefault="00B043CA">
            <w:pPr>
              <w:jc w:val="center"/>
              <w:rPr>
                <w:color w:val="000000"/>
              </w:rPr>
            </w:pPr>
            <w:r>
              <w:rPr>
                <w:color w:val="000000"/>
              </w:rPr>
              <w:t>14.2</w:t>
            </w:r>
          </w:p>
        </w:tc>
        <w:tc>
          <w:tcPr>
            <w:tcW w:w="1880" w:type="dxa"/>
            <w:tcBorders>
              <w:top w:val="nil"/>
              <w:left w:val="nil"/>
              <w:bottom w:val="single" w:sz="4" w:space="0" w:color="000000"/>
              <w:right w:val="single" w:sz="8" w:space="0" w:color="auto"/>
            </w:tcBorders>
            <w:shd w:val="clear" w:color="auto" w:fill="auto"/>
            <w:noWrap/>
            <w:vAlign w:val="bottom"/>
            <w:hideMark/>
          </w:tcPr>
          <w:p w14:paraId="31FB88B0" w14:textId="77777777" w:rsidR="00B043CA" w:rsidRDefault="00B043CA">
            <w:pPr>
              <w:jc w:val="center"/>
              <w:rPr>
                <w:color w:val="000000"/>
              </w:rPr>
            </w:pPr>
            <w:r>
              <w:rPr>
                <w:color w:val="000000"/>
              </w:rPr>
              <w:t>1.1</w:t>
            </w:r>
          </w:p>
        </w:tc>
      </w:tr>
      <w:tr w:rsidR="00B043CA" w14:paraId="73D05B44" w14:textId="77777777" w:rsidTr="00B043CA">
        <w:trPr>
          <w:trHeight w:val="320"/>
        </w:trPr>
        <w:tc>
          <w:tcPr>
            <w:tcW w:w="2800" w:type="dxa"/>
            <w:tcBorders>
              <w:top w:val="nil"/>
              <w:left w:val="single" w:sz="8" w:space="0" w:color="auto"/>
              <w:bottom w:val="single" w:sz="4" w:space="0" w:color="000000"/>
              <w:right w:val="single" w:sz="4" w:space="0" w:color="000000"/>
            </w:tcBorders>
            <w:shd w:val="clear" w:color="auto" w:fill="DDD9C3" w:themeFill="background2" w:themeFillShade="E6"/>
            <w:noWrap/>
            <w:vAlign w:val="bottom"/>
            <w:hideMark/>
          </w:tcPr>
          <w:p w14:paraId="35027E40" w14:textId="77777777" w:rsidR="00B043CA" w:rsidRDefault="00B043CA">
            <w:pPr>
              <w:jc w:val="center"/>
              <w:rPr>
                <w:color w:val="000000"/>
              </w:rPr>
            </w:pPr>
            <w:r>
              <w:rPr>
                <w:color w:val="000000"/>
              </w:rPr>
              <w:t>Sample Variance</w:t>
            </w:r>
          </w:p>
        </w:tc>
        <w:tc>
          <w:tcPr>
            <w:tcW w:w="2220" w:type="dxa"/>
            <w:tcBorders>
              <w:top w:val="nil"/>
              <w:left w:val="nil"/>
              <w:bottom w:val="single" w:sz="4" w:space="0" w:color="000000"/>
              <w:right w:val="single" w:sz="4" w:space="0" w:color="000000"/>
            </w:tcBorders>
            <w:shd w:val="clear" w:color="auto" w:fill="auto"/>
            <w:noWrap/>
            <w:vAlign w:val="bottom"/>
            <w:hideMark/>
          </w:tcPr>
          <w:p w14:paraId="3BB22CD3" w14:textId="77777777" w:rsidR="00B043CA" w:rsidRDefault="00B043CA">
            <w:pPr>
              <w:jc w:val="center"/>
              <w:rPr>
                <w:color w:val="000000"/>
              </w:rPr>
            </w:pPr>
            <w:r>
              <w:rPr>
                <w:color w:val="000000"/>
              </w:rPr>
              <w:t>20.52</w:t>
            </w:r>
          </w:p>
        </w:tc>
        <w:tc>
          <w:tcPr>
            <w:tcW w:w="2320" w:type="dxa"/>
            <w:tcBorders>
              <w:top w:val="nil"/>
              <w:left w:val="nil"/>
              <w:bottom w:val="single" w:sz="4" w:space="0" w:color="000000"/>
              <w:right w:val="single" w:sz="4" w:space="0" w:color="000000"/>
            </w:tcBorders>
            <w:shd w:val="clear" w:color="auto" w:fill="auto"/>
            <w:noWrap/>
            <w:vAlign w:val="bottom"/>
            <w:hideMark/>
          </w:tcPr>
          <w:p w14:paraId="3D6E70BF" w14:textId="77777777" w:rsidR="00B043CA" w:rsidRDefault="00B043CA">
            <w:pPr>
              <w:jc w:val="center"/>
              <w:rPr>
                <w:color w:val="000000"/>
              </w:rPr>
            </w:pPr>
            <w:r>
              <w:rPr>
                <w:color w:val="000000"/>
              </w:rPr>
              <w:t>45.86</w:t>
            </w:r>
          </w:p>
        </w:tc>
        <w:tc>
          <w:tcPr>
            <w:tcW w:w="1880" w:type="dxa"/>
            <w:tcBorders>
              <w:top w:val="nil"/>
              <w:left w:val="nil"/>
              <w:bottom w:val="single" w:sz="4" w:space="0" w:color="000000"/>
              <w:right w:val="single" w:sz="8" w:space="0" w:color="auto"/>
            </w:tcBorders>
            <w:shd w:val="clear" w:color="auto" w:fill="auto"/>
            <w:noWrap/>
            <w:vAlign w:val="bottom"/>
            <w:hideMark/>
          </w:tcPr>
          <w:p w14:paraId="50E81DE9" w14:textId="77777777" w:rsidR="00B043CA" w:rsidRDefault="00B043CA">
            <w:pPr>
              <w:jc w:val="center"/>
              <w:rPr>
                <w:color w:val="000000"/>
              </w:rPr>
            </w:pPr>
            <w:r>
              <w:rPr>
                <w:color w:val="000000"/>
              </w:rPr>
              <w:t>14.54</w:t>
            </w:r>
          </w:p>
        </w:tc>
      </w:tr>
      <w:tr w:rsidR="00B043CA" w14:paraId="447B77FE" w14:textId="77777777" w:rsidTr="00B043CA">
        <w:trPr>
          <w:trHeight w:val="320"/>
        </w:trPr>
        <w:tc>
          <w:tcPr>
            <w:tcW w:w="2800" w:type="dxa"/>
            <w:tcBorders>
              <w:top w:val="nil"/>
              <w:left w:val="single" w:sz="8" w:space="0" w:color="auto"/>
              <w:bottom w:val="single" w:sz="4" w:space="0" w:color="000000"/>
              <w:right w:val="single" w:sz="4" w:space="0" w:color="000000"/>
            </w:tcBorders>
            <w:shd w:val="clear" w:color="auto" w:fill="DDD9C3" w:themeFill="background2" w:themeFillShade="E6"/>
            <w:noWrap/>
            <w:vAlign w:val="bottom"/>
            <w:hideMark/>
          </w:tcPr>
          <w:p w14:paraId="1B4A47ED" w14:textId="77777777" w:rsidR="00B043CA" w:rsidRDefault="00B043CA">
            <w:pPr>
              <w:jc w:val="center"/>
              <w:rPr>
                <w:color w:val="000000"/>
              </w:rPr>
            </w:pPr>
            <w:r>
              <w:rPr>
                <w:color w:val="000000"/>
              </w:rPr>
              <w:t>Standard Deviation</w:t>
            </w:r>
          </w:p>
        </w:tc>
        <w:tc>
          <w:tcPr>
            <w:tcW w:w="2220" w:type="dxa"/>
            <w:tcBorders>
              <w:top w:val="nil"/>
              <w:left w:val="nil"/>
              <w:bottom w:val="single" w:sz="4" w:space="0" w:color="000000"/>
              <w:right w:val="single" w:sz="4" w:space="0" w:color="000000"/>
            </w:tcBorders>
            <w:shd w:val="clear" w:color="auto" w:fill="auto"/>
            <w:noWrap/>
            <w:vAlign w:val="bottom"/>
            <w:hideMark/>
          </w:tcPr>
          <w:p w14:paraId="0BB60B45" w14:textId="77777777" w:rsidR="00B043CA" w:rsidRDefault="00B043CA">
            <w:pPr>
              <w:jc w:val="center"/>
              <w:rPr>
                <w:color w:val="000000"/>
              </w:rPr>
            </w:pPr>
            <w:r>
              <w:rPr>
                <w:color w:val="000000"/>
              </w:rPr>
              <w:t>4.53</w:t>
            </w:r>
          </w:p>
        </w:tc>
        <w:tc>
          <w:tcPr>
            <w:tcW w:w="2320" w:type="dxa"/>
            <w:tcBorders>
              <w:top w:val="nil"/>
              <w:left w:val="nil"/>
              <w:bottom w:val="single" w:sz="4" w:space="0" w:color="000000"/>
              <w:right w:val="single" w:sz="4" w:space="0" w:color="000000"/>
            </w:tcBorders>
            <w:shd w:val="clear" w:color="auto" w:fill="auto"/>
            <w:noWrap/>
            <w:vAlign w:val="bottom"/>
            <w:hideMark/>
          </w:tcPr>
          <w:p w14:paraId="61DB0412" w14:textId="77777777" w:rsidR="00B043CA" w:rsidRDefault="00B043CA">
            <w:pPr>
              <w:jc w:val="center"/>
              <w:rPr>
                <w:color w:val="000000"/>
              </w:rPr>
            </w:pPr>
            <w:r>
              <w:rPr>
                <w:color w:val="000000"/>
              </w:rPr>
              <w:t>6.77</w:t>
            </w:r>
          </w:p>
        </w:tc>
        <w:tc>
          <w:tcPr>
            <w:tcW w:w="1880" w:type="dxa"/>
            <w:tcBorders>
              <w:top w:val="nil"/>
              <w:left w:val="nil"/>
              <w:bottom w:val="single" w:sz="4" w:space="0" w:color="000000"/>
              <w:right w:val="single" w:sz="8" w:space="0" w:color="auto"/>
            </w:tcBorders>
            <w:shd w:val="clear" w:color="auto" w:fill="auto"/>
            <w:noWrap/>
            <w:vAlign w:val="bottom"/>
            <w:hideMark/>
          </w:tcPr>
          <w:p w14:paraId="2A38149C" w14:textId="77777777" w:rsidR="00B043CA" w:rsidRDefault="00B043CA">
            <w:pPr>
              <w:jc w:val="center"/>
              <w:rPr>
                <w:color w:val="000000"/>
              </w:rPr>
            </w:pPr>
            <w:r>
              <w:rPr>
                <w:color w:val="000000"/>
              </w:rPr>
              <w:t>3.81</w:t>
            </w:r>
          </w:p>
        </w:tc>
      </w:tr>
      <w:tr w:rsidR="00B043CA" w14:paraId="19E18B6D" w14:textId="77777777" w:rsidTr="00B043CA">
        <w:trPr>
          <w:trHeight w:val="340"/>
        </w:trPr>
        <w:tc>
          <w:tcPr>
            <w:tcW w:w="2800" w:type="dxa"/>
            <w:tcBorders>
              <w:top w:val="nil"/>
              <w:left w:val="single" w:sz="8" w:space="0" w:color="auto"/>
              <w:bottom w:val="single" w:sz="8" w:space="0" w:color="auto"/>
              <w:right w:val="single" w:sz="4" w:space="0" w:color="000000"/>
            </w:tcBorders>
            <w:shd w:val="clear" w:color="auto" w:fill="DDD9C3" w:themeFill="background2" w:themeFillShade="E6"/>
            <w:noWrap/>
            <w:vAlign w:val="bottom"/>
            <w:hideMark/>
          </w:tcPr>
          <w:p w14:paraId="4FB72483" w14:textId="77777777" w:rsidR="00B043CA" w:rsidRDefault="00B043CA">
            <w:pPr>
              <w:jc w:val="center"/>
              <w:rPr>
                <w:color w:val="000000"/>
              </w:rPr>
            </w:pPr>
            <w:r>
              <w:rPr>
                <w:color w:val="000000"/>
              </w:rPr>
              <w:t>Coefficient of Variation</w:t>
            </w:r>
          </w:p>
        </w:tc>
        <w:tc>
          <w:tcPr>
            <w:tcW w:w="2220" w:type="dxa"/>
            <w:tcBorders>
              <w:top w:val="nil"/>
              <w:left w:val="nil"/>
              <w:bottom w:val="single" w:sz="8" w:space="0" w:color="auto"/>
              <w:right w:val="single" w:sz="4" w:space="0" w:color="000000"/>
            </w:tcBorders>
            <w:shd w:val="clear" w:color="auto" w:fill="auto"/>
            <w:noWrap/>
            <w:vAlign w:val="bottom"/>
            <w:hideMark/>
          </w:tcPr>
          <w:p w14:paraId="40009C3E" w14:textId="77777777" w:rsidR="00B043CA" w:rsidRDefault="00B043CA">
            <w:pPr>
              <w:jc w:val="center"/>
              <w:rPr>
                <w:color w:val="000000"/>
              </w:rPr>
            </w:pPr>
            <w:r>
              <w:rPr>
                <w:color w:val="000000"/>
              </w:rPr>
              <w:t>0.21</w:t>
            </w:r>
          </w:p>
        </w:tc>
        <w:tc>
          <w:tcPr>
            <w:tcW w:w="2320" w:type="dxa"/>
            <w:tcBorders>
              <w:top w:val="nil"/>
              <w:left w:val="nil"/>
              <w:bottom w:val="single" w:sz="8" w:space="0" w:color="auto"/>
              <w:right w:val="single" w:sz="4" w:space="0" w:color="000000"/>
            </w:tcBorders>
            <w:shd w:val="clear" w:color="auto" w:fill="auto"/>
            <w:noWrap/>
            <w:vAlign w:val="bottom"/>
            <w:hideMark/>
          </w:tcPr>
          <w:p w14:paraId="7276CA84" w14:textId="77777777" w:rsidR="00B043CA" w:rsidRDefault="00B043CA">
            <w:pPr>
              <w:jc w:val="center"/>
              <w:rPr>
                <w:color w:val="000000"/>
              </w:rPr>
            </w:pPr>
            <w:r>
              <w:rPr>
                <w:color w:val="000000"/>
              </w:rPr>
              <w:t>0.52</w:t>
            </w:r>
          </w:p>
        </w:tc>
        <w:tc>
          <w:tcPr>
            <w:tcW w:w="1880" w:type="dxa"/>
            <w:tcBorders>
              <w:top w:val="nil"/>
              <w:left w:val="nil"/>
              <w:bottom w:val="single" w:sz="8" w:space="0" w:color="auto"/>
              <w:right w:val="single" w:sz="8" w:space="0" w:color="auto"/>
            </w:tcBorders>
            <w:shd w:val="clear" w:color="auto" w:fill="auto"/>
            <w:noWrap/>
            <w:vAlign w:val="bottom"/>
            <w:hideMark/>
          </w:tcPr>
          <w:p w14:paraId="52441B8B" w14:textId="77777777" w:rsidR="00B043CA" w:rsidRDefault="00B043CA">
            <w:pPr>
              <w:jc w:val="center"/>
              <w:rPr>
                <w:color w:val="000000"/>
              </w:rPr>
            </w:pPr>
            <w:r>
              <w:rPr>
                <w:color w:val="000000"/>
              </w:rPr>
              <w:t>0.70</w:t>
            </w:r>
          </w:p>
        </w:tc>
      </w:tr>
    </w:tbl>
    <w:p w14:paraId="4883D5C0" w14:textId="77777777" w:rsidR="00290180" w:rsidRDefault="00290180">
      <w:pPr>
        <w:spacing w:line="360" w:lineRule="auto"/>
      </w:pPr>
    </w:p>
    <w:p w14:paraId="04ABFF52" w14:textId="77777777" w:rsidR="00290180" w:rsidRDefault="00000000">
      <w:pPr>
        <w:spacing w:line="360" w:lineRule="auto"/>
        <w:jc w:val="center"/>
      </w:pPr>
      <w:r>
        <w:tab/>
      </w:r>
      <w:r w:rsidRPr="00B043CA">
        <w:rPr>
          <w:b/>
          <w:bCs/>
          <w:i/>
          <w:iCs/>
        </w:rPr>
        <w:t>Table 5</w:t>
      </w:r>
      <w:r>
        <w:t>: Table of variation for neonatal mortality rate on each level of GNI per capita in 2017.</w:t>
      </w:r>
    </w:p>
    <w:p w14:paraId="556E94BA" w14:textId="03B19CBC" w:rsidR="00290180" w:rsidRDefault="00000000">
      <w:pPr>
        <w:numPr>
          <w:ilvl w:val="0"/>
          <w:numId w:val="23"/>
        </w:numPr>
        <w:spacing w:line="360" w:lineRule="auto"/>
      </w:pPr>
      <w:r>
        <w:t xml:space="preserve">Interquartile Range (IQR) is regarded as an appropriate measure of variation in statistical theory because it represents the range </w:t>
      </w:r>
      <w:r w:rsidR="00754A57">
        <w:rPr>
          <w:lang w:val="en-US"/>
        </w:rPr>
        <w:t xml:space="preserve">of value </w:t>
      </w:r>
      <w:r>
        <w:t xml:space="preserve">between </w:t>
      </w:r>
      <w:r w:rsidR="00754A57">
        <w:rPr>
          <w:lang w:val="en-US"/>
        </w:rPr>
        <w:t xml:space="preserve">Q1 and Q3 </w:t>
      </w:r>
      <w:r>
        <w:t xml:space="preserve">and is not affected by </w:t>
      </w:r>
      <w:r w:rsidR="00754A57">
        <w:rPr>
          <w:lang w:val="en-US"/>
        </w:rPr>
        <w:t>outliers</w:t>
      </w:r>
      <w:r>
        <w:t xml:space="preserve"> (Raymondo, 1999). Middle-Income Countries had the highest IQR with 14,2 </w:t>
      </w:r>
      <w:r w:rsidR="007318D3">
        <w:rPr>
          <w:lang w:val="en-US"/>
        </w:rPr>
        <w:t xml:space="preserve">deaths </w:t>
      </w:r>
      <w:r>
        <w:t>per 1000 live births, followed by Low-Income Countries and High-Income Countries with 4,9 and 1,1 deaths per 1000 live births, respectively (see Table 5). The data for Middle-Income countries are more widely dispersed and scattered, whereas those for High-Income countries are more likely to be dispersed around the median.</w:t>
      </w:r>
    </w:p>
    <w:p w14:paraId="0E4C764B" w14:textId="77777777" w:rsidR="00290180" w:rsidRDefault="00000000">
      <w:pPr>
        <w:numPr>
          <w:ilvl w:val="0"/>
          <w:numId w:val="18"/>
        </w:numPr>
        <w:spacing w:line="360" w:lineRule="auto"/>
      </w:pPr>
      <w:r>
        <w:t>Histogram</w:t>
      </w:r>
    </w:p>
    <w:p w14:paraId="2662E31B" w14:textId="77777777" w:rsidR="00290180" w:rsidRDefault="00000000">
      <w:pPr>
        <w:spacing w:line="360" w:lineRule="auto"/>
      </w:pPr>
      <w:r>
        <w:tab/>
      </w:r>
    </w:p>
    <w:tbl>
      <w:tblPr>
        <w:tblStyle w:val="aa"/>
        <w:tblW w:w="9009" w:type="dxa"/>
        <w:tblLayout w:type="fixed"/>
        <w:tblLook w:val="0400" w:firstRow="0" w:lastRow="0" w:firstColumn="0" w:lastColumn="0" w:noHBand="0" w:noVBand="1"/>
      </w:tblPr>
      <w:tblGrid>
        <w:gridCol w:w="2457"/>
        <w:gridCol w:w="2182"/>
        <w:gridCol w:w="2280"/>
        <w:gridCol w:w="2090"/>
      </w:tblGrid>
      <w:tr w:rsidR="00290180" w14:paraId="5E0A48D3" w14:textId="77777777" w:rsidTr="00B85E4E">
        <w:trPr>
          <w:trHeight w:val="315"/>
        </w:trPr>
        <w:tc>
          <w:tcPr>
            <w:tcW w:w="2457" w:type="dxa"/>
            <w:tcBorders>
              <w:top w:val="single" w:sz="8" w:space="0" w:color="000000"/>
              <w:left w:val="single" w:sz="8" w:space="0" w:color="000000"/>
              <w:bottom w:val="single" w:sz="4" w:space="0" w:color="000000"/>
              <w:right w:val="single" w:sz="4" w:space="0" w:color="000000"/>
            </w:tcBorders>
            <w:shd w:val="clear" w:color="auto" w:fill="B8CCE4" w:themeFill="accent1" w:themeFillTint="66"/>
            <w:vAlign w:val="bottom"/>
          </w:tcPr>
          <w:p w14:paraId="3AAF3DB4"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Neonatal mortality rate</w:t>
            </w:r>
          </w:p>
        </w:tc>
        <w:tc>
          <w:tcPr>
            <w:tcW w:w="2182" w:type="dxa"/>
            <w:tcBorders>
              <w:top w:val="single" w:sz="8" w:space="0" w:color="000000"/>
              <w:left w:val="nil"/>
              <w:bottom w:val="single" w:sz="4" w:space="0" w:color="000000"/>
              <w:right w:val="single" w:sz="4" w:space="0" w:color="000000"/>
            </w:tcBorders>
            <w:shd w:val="clear" w:color="auto" w:fill="B8CCE4" w:themeFill="accent1" w:themeFillTint="66"/>
            <w:vAlign w:val="bottom"/>
          </w:tcPr>
          <w:p w14:paraId="6FDEF363"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Low-Income (LI)</w:t>
            </w:r>
          </w:p>
        </w:tc>
        <w:tc>
          <w:tcPr>
            <w:tcW w:w="2280" w:type="dxa"/>
            <w:tcBorders>
              <w:top w:val="single" w:sz="8" w:space="0" w:color="000000"/>
              <w:left w:val="nil"/>
              <w:bottom w:val="single" w:sz="4" w:space="0" w:color="000000"/>
              <w:right w:val="single" w:sz="4" w:space="0" w:color="000000"/>
            </w:tcBorders>
            <w:shd w:val="clear" w:color="auto" w:fill="B8CCE4" w:themeFill="accent1" w:themeFillTint="66"/>
            <w:vAlign w:val="bottom"/>
          </w:tcPr>
          <w:p w14:paraId="572C045D"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Middle-Income (MI)</w:t>
            </w:r>
          </w:p>
        </w:tc>
        <w:tc>
          <w:tcPr>
            <w:tcW w:w="2090" w:type="dxa"/>
            <w:tcBorders>
              <w:top w:val="single" w:sz="8" w:space="0" w:color="000000"/>
              <w:left w:val="nil"/>
              <w:bottom w:val="single" w:sz="4" w:space="0" w:color="000000"/>
              <w:right w:val="single" w:sz="8" w:space="0" w:color="000000"/>
            </w:tcBorders>
            <w:shd w:val="clear" w:color="auto" w:fill="B8CCE4" w:themeFill="accent1" w:themeFillTint="66"/>
            <w:vAlign w:val="bottom"/>
          </w:tcPr>
          <w:p w14:paraId="4EB05719"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High-Income (HI)</w:t>
            </w:r>
          </w:p>
        </w:tc>
      </w:tr>
      <w:tr w:rsidR="00290180" w14:paraId="08CA4164" w14:textId="77777777" w:rsidTr="00B85E4E">
        <w:trPr>
          <w:trHeight w:val="315"/>
        </w:trPr>
        <w:tc>
          <w:tcPr>
            <w:tcW w:w="2457" w:type="dxa"/>
            <w:tcBorders>
              <w:top w:val="nil"/>
              <w:left w:val="single" w:sz="8" w:space="0" w:color="000000"/>
              <w:bottom w:val="single" w:sz="4" w:space="0" w:color="000000"/>
              <w:right w:val="single" w:sz="4" w:space="0" w:color="000000"/>
            </w:tcBorders>
            <w:shd w:val="clear" w:color="auto" w:fill="DDD9C3" w:themeFill="background2" w:themeFillShade="E6"/>
            <w:vAlign w:val="bottom"/>
          </w:tcPr>
          <w:p w14:paraId="4B98B253"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From 0 to 4</w:t>
            </w:r>
          </w:p>
        </w:tc>
        <w:tc>
          <w:tcPr>
            <w:tcW w:w="2182" w:type="dxa"/>
            <w:tcBorders>
              <w:top w:val="nil"/>
              <w:left w:val="nil"/>
              <w:bottom w:val="single" w:sz="4" w:space="0" w:color="000000"/>
              <w:right w:val="single" w:sz="4" w:space="0" w:color="000000"/>
            </w:tcBorders>
            <w:shd w:val="clear" w:color="auto" w:fill="auto"/>
            <w:vAlign w:val="bottom"/>
          </w:tcPr>
          <w:p w14:paraId="3BFDF4AB"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0</w:t>
            </w:r>
          </w:p>
        </w:tc>
        <w:tc>
          <w:tcPr>
            <w:tcW w:w="2280" w:type="dxa"/>
            <w:tcBorders>
              <w:top w:val="nil"/>
              <w:left w:val="nil"/>
              <w:bottom w:val="single" w:sz="4" w:space="0" w:color="000000"/>
              <w:right w:val="single" w:sz="4" w:space="0" w:color="000000"/>
            </w:tcBorders>
            <w:shd w:val="clear" w:color="auto" w:fill="auto"/>
            <w:vAlign w:val="bottom"/>
          </w:tcPr>
          <w:p w14:paraId="18A007C9"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0</w:t>
            </w:r>
          </w:p>
        </w:tc>
        <w:tc>
          <w:tcPr>
            <w:tcW w:w="2090" w:type="dxa"/>
            <w:tcBorders>
              <w:top w:val="nil"/>
              <w:left w:val="nil"/>
              <w:bottom w:val="single" w:sz="4" w:space="0" w:color="000000"/>
              <w:right w:val="single" w:sz="8" w:space="0" w:color="000000"/>
            </w:tcBorders>
            <w:shd w:val="clear" w:color="auto" w:fill="auto"/>
            <w:vAlign w:val="bottom"/>
          </w:tcPr>
          <w:p w14:paraId="4E575E52"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0</w:t>
            </w:r>
          </w:p>
        </w:tc>
      </w:tr>
      <w:tr w:rsidR="00290180" w14:paraId="5F319B58" w14:textId="77777777" w:rsidTr="00B85E4E">
        <w:trPr>
          <w:trHeight w:val="315"/>
        </w:trPr>
        <w:tc>
          <w:tcPr>
            <w:tcW w:w="2457" w:type="dxa"/>
            <w:tcBorders>
              <w:top w:val="nil"/>
              <w:left w:val="single" w:sz="8" w:space="0" w:color="000000"/>
              <w:bottom w:val="single" w:sz="4" w:space="0" w:color="000000"/>
              <w:right w:val="single" w:sz="4" w:space="0" w:color="000000"/>
            </w:tcBorders>
            <w:shd w:val="clear" w:color="auto" w:fill="DDD9C3" w:themeFill="background2" w:themeFillShade="E6"/>
            <w:vAlign w:val="bottom"/>
          </w:tcPr>
          <w:p w14:paraId="523B4563"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From 4 to 8</w:t>
            </w:r>
          </w:p>
        </w:tc>
        <w:tc>
          <w:tcPr>
            <w:tcW w:w="2182" w:type="dxa"/>
            <w:tcBorders>
              <w:top w:val="nil"/>
              <w:left w:val="nil"/>
              <w:bottom w:val="single" w:sz="4" w:space="0" w:color="000000"/>
              <w:right w:val="single" w:sz="4" w:space="0" w:color="000000"/>
            </w:tcBorders>
            <w:shd w:val="clear" w:color="auto" w:fill="auto"/>
            <w:vAlign w:val="bottom"/>
          </w:tcPr>
          <w:p w14:paraId="46E1B950"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0</w:t>
            </w:r>
          </w:p>
        </w:tc>
        <w:tc>
          <w:tcPr>
            <w:tcW w:w="2280" w:type="dxa"/>
            <w:tcBorders>
              <w:top w:val="nil"/>
              <w:left w:val="nil"/>
              <w:bottom w:val="single" w:sz="4" w:space="0" w:color="000000"/>
              <w:right w:val="single" w:sz="4" w:space="0" w:color="000000"/>
            </w:tcBorders>
            <w:shd w:val="clear" w:color="auto" w:fill="auto"/>
            <w:vAlign w:val="bottom"/>
          </w:tcPr>
          <w:p w14:paraId="5C8EFD70"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0</w:t>
            </w:r>
          </w:p>
        </w:tc>
        <w:tc>
          <w:tcPr>
            <w:tcW w:w="2090" w:type="dxa"/>
            <w:tcBorders>
              <w:top w:val="nil"/>
              <w:left w:val="nil"/>
              <w:bottom w:val="single" w:sz="4" w:space="0" w:color="000000"/>
              <w:right w:val="single" w:sz="8" w:space="0" w:color="000000"/>
            </w:tcBorders>
            <w:shd w:val="clear" w:color="auto" w:fill="auto"/>
            <w:vAlign w:val="bottom"/>
          </w:tcPr>
          <w:p w14:paraId="749DA78C"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2</w:t>
            </w:r>
          </w:p>
        </w:tc>
      </w:tr>
      <w:tr w:rsidR="00290180" w14:paraId="72071232" w14:textId="77777777" w:rsidTr="00B85E4E">
        <w:trPr>
          <w:trHeight w:val="315"/>
        </w:trPr>
        <w:tc>
          <w:tcPr>
            <w:tcW w:w="2457" w:type="dxa"/>
            <w:tcBorders>
              <w:top w:val="nil"/>
              <w:left w:val="single" w:sz="8" w:space="0" w:color="000000"/>
              <w:bottom w:val="single" w:sz="4" w:space="0" w:color="000000"/>
              <w:right w:val="single" w:sz="4" w:space="0" w:color="000000"/>
            </w:tcBorders>
            <w:shd w:val="clear" w:color="auto" w:fill="DDD9C3" w:themeFill="background2" w:themeFillShade="E6"/>
            <w:vAlign w:val="bottom"/>
          </w:tcPr>
          <w:p w14:paraId="0D2177FB"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From 8 to 12</w:t>
            </w:r>
          </w:p>
        </w:tc>
        <w:tc>
          <w:tcPr>
            <w:tcW w:w="2182" w:type="dxa"/>
            <w:tcBorders>
              <w:top w:val="nil"/>
              <w:left w:val="nil"/>
              <w:bottom w:val="single" w:sz="4" w:space="0" w:color="000000"/>
              <w:right w:val="single" w:sz="4" w:space="0" w:color="000000"/>
            </w:tcBorders>
            <w:shd w:val="clear" w:color="auto" w:fill="auto"/>
            <w:vAlign w:val="bottom"/>
          </w:tcPr>
          <w:p w14:paraId="58049912"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0</w:t>
            </w:r>
          </w:p>
        </w:tc>
        <w:tc>
          <w:tcPr>
            <w:tcW w:w="2280" w:type="dxa"/>
            <w:tcBorders>
              <w:top w:val="nil"/>
              <w:left w:val="nil"/>
              <w:bottom w:val="single" w:sz="4" w:space="0" w:color="000000"/>
              <w:right w:val="single" w:sz="4" w:space="0" w:color="000000"/>
            </w:tcBorders>
            <w:shd w:val="clear" w:color="auto" w:fill="auto"/>
            <w:vAlign w:val="bottom"/>
          </w:tcPr>
          <w:p w14:paraId="43712CEB"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3</w:t>
            </w:r>
          </w:p>
        </w:tc>
        <w:tc>
          <w:tcPr>
            <w:tcW w:w="2090" w:type="dxa"/>
            <w:tcBorders>
              <w:top w:val="nil"/>
              <w:left w:val="nil"/>
              <w:bottom w:val="single" w:sz="4" w:space="0" w:color="000000"/>
              <w:right w:val="single" w:sz="8" w:space="0" w:color="000000"/>
            </w:tcBorders>
            <w:shd w:val="clear" w:color="auto" w:fill="auto"/>
            <w:vAlign w:val="bottom"/>
          </w:tcPr>
          <w:p w14:paraId="67D503FE"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2</w:t>
            </w:r>
          </w:p>
        </w:tc>
      </w:tr>
      <w:tr w:rsidR="00290180" w14:paraId="330B7FED" w14:textId="77777777" w:rsidTr="00B85E4E">
        <w:trPr>
          <w:trHeight w:val="315"/>
        </w:trPr>
        <w:tc>
          <w:tcPr>
            <w:tcW w:w="2457" w:type="dxa"/>
            <w:tcBorders>
              <w:top w:val="nil"/>
              <w:left w:val="single" w:sz="8" w:space="0" w:color="000000"/>
              <w:bottom w:val="single" w:sz="4" w:space="0" w:color="000000"/>
              <w:right w:val="single" w:sz="4" w:space="0" w:color="000000"/>
            </w:tcBorders>
            <w:shd w:val="clear" w:color="auto" w:fill="DDD9C3" w:themeFill="background2" w:themeFillShade="E6"/>
            <w:vAlign w:val="bottom"/>
          </w:tcPr>
          <w:p w14:paraId="1451E9B9"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From 12 to 16</w:t>
            </w:r>
          </w:p>
        </w:tc>
        <w:tc>
          <w:tcPr>
            <w:tcW w:w="2182" w:type="dxa"/>
            <w:tcBorders>
              <w:top w:val="nil"/>
              <w:left w:val="nil"/>
              <w:bottom w:val="single" w:sz="4" w:space="0" w:color="000000"/>
              <w:right w:val="single" w:sz="4" w:space="0" w:color="000000"/>
            </w:tcBorders>
            <w:shd w:val="clear" w:color="auto" w:fill="auto"/>
            <w:vAlign w:val="bottom"/>
          </w:tcPr>
          <w:p w14:paraId="258024DE"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0</w:t>
            </w:r>
          </w:p>
        </w:tc>
        <w:tc>
          <w:tcPr>
            <w:tcW w:w="2280" w:type="dxa"/>
            <w:tcBorders>
              <w:top w:val="nil"/>
              <w:left w:val="nil"/>
              <w:bottom w:val="single" w:sz="4" w:space="0" w:color="000000"/>
              <w:right w:val="single" w:sz="4" w:space="0" w:color="000000"/>
            </w:tcBorders>
            <w:shd w:val="clear" w:color="auto" w:fill="auto"/>
            <w:vAlign w:val="bottom"/>
          </w:tcPr>
          <w:p w14:paraId="40131724"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1</w:t>
            </w:r>
          </w:p>
        </w:tc>
        <w:tc>
          <w:tcPr>
            <w:tcW w:w="2090" w:type="dxa"/>
            <w:tcBorders>
              <w:top w:val="nil"/>
              <w:left w:val="nil"/>
              <w:bottom w:val="single" w:sz="4" w:space="0" w:color="000000"/>
              <w:right w:val="single" w:sz="8" w:space="0" w:color="000000"/>
            </w:tcBorders>
            <w:shd w:val="clear" w:color="auto" w:fill="auto"/>
            <w:vAlign w:val="bottom"/>
          </w:tcPr>
          <w:p w14:paraId="376B8649"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0</w:t>
            </w:r>
          </w:p>
        </w:tc>
      </w:tr>
      <w:tr w:rsidR="00290180" w14:paraId="46413799" w14:textId="77777777" w:rsidTr="00B85E4E">
        <w:trPr>
          <w:trHeight w:val="315"/>
        </w:trPr>
        <w:tc>
          <w:tcPr>
            <w:tcW w:w="2457" w:type="dxa"/>
            <w:tcBorders>
              <w:top w:val="nil"/>
              <w:left w:val="single" w:sz="8" w:space="0" w:color="000000"/>
              <w:bottom w:val="single" w:sz="4" w:space="0" w:color="000000"/>
              <w:right w:val="single" w:sz="4" w:space="0" w:color="000000"/>
            </w:tcBorders>
            <w:shd w:val="clear" w:color="auto" w:fill="DDD9C3" w:themeFill="background2" w:themeFillShade="E6"/>
            <w:vAlign w:val="bottom"/>
          </w:tcPr>
          <w:p w14:paraId="5B378608"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From 16 to 20</w:t>
            </w:r>
          </w:p>
        </w:tc>
        <w:tc>
          <w:tcPr>
            <w:tcW w:w="2182" w:type="dxa"/>
            <w:tcBorders>
              <w:top w:val="nil"/>
              <w:left w:val="nil"/>
              <w:bottom w:val="single" w:sz="4" w:space="0" w:color="000000"/>
              <w:right w:val="single" w:sz="4" w:space="0" w:color="000000"/>
            </w:tcBorders>
            <w:shd w:val="clear" w:color="auto" w:fill="auto"/>
            <w:vAlign w:val="bottom"/>
          </w:tcPr>
          <w:p w14:paraId="7C1DC010"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1</w:t>
            </w:r>
          </w:p>
        </w:tc>
        <w:tc>
          <w:tcPr>
            <w:tcW w:w="2280" w:type="dxa"/>
            <w:tcBorders>
              <w:top w:val="nil"/>
              <w:left w:val="nil"/>
              <w:bottom w:val="single" w:sz="4" w:space="0" w:color="000000"/>
              <w:right w:val="single" w:sz="4" w:space="0" w:color="000000"/>
            </w:tcBorders>
            <w:shd w:val="clear" w:color="auto" w:fill="auto"/>
            <w:vAlign w:val="bottom"/>
          </w:tcPr>
          <w:p w14:paraId="1C5E19E1"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0</w:t>
            </w:r>
          </w:p>
        </w:tc>
        <w:tc>
          <w:tcPr>
            <w:tcW w:w="2090" w:type="dxa"/>
            <w:tcBorders>
              <w:top w:val="nil"/>
              <w:left w:val="nil"/>
              <w:bottom w:val="single" w:sz="4" w:space="0" w:color="000000"/>
              <w:right w:val="single" w:sz="8" w:space="0" w:color="000000"/>
            </w:tcBorders>
            <w:shd w:val="clear" w:color="auto" w:fill="auto"/>
            <w:vAlign w:val="bottom"/>
          </w:tcPr>
          <w:p w14:paraId="61138E26"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1</w:t>
            </w:r>
          </w:p>
        </w:tc>
      </w:tr>
      <w:tr w:rsidR="00290180" w14:paraId="5C8DDA58" w14:textId="77777777" w:rsidTr="00B85E4E">
        <w:trPr>
          <w:trHeight w:val="315"/>
        </w:trPr>
        <w:tc>
          <w:tcPr>
            <w:tcW w:w="2457" w:type="dxa"/>
            <w:tcBorders>
              <w:top w:val="nil"/>
              <w:left w:val="single" w:sz="8" w:space="0" w:color="000000"/>
              <w:bottom w:val="single" w:sz="4" w:space="0" w:color="000000"/>
              <w:right w:val="single" w:sz="4" w:space="0" w:color="000000"/>
            </w:tcBorders>
            <w:shd w:val="clear" w:color="auto" w:fill="DDD9C3" w:themeFill="background2" w:themeFillShade="E6"/>
            <w:vAlign w:val="bottom"/>
          </w:tcPr>
          <w:p w14:paraId="4EFEC2B8"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From 20 to 24</w:t>
            </w:r>
          </w:p>
        </w:tc>
        <w:tc>
          <w:tcPr>
            <w:tcW w:w="2182" w:type="dxa"/>
            <w:tcBorders>
              <w:top w:val="nil"/>
              <w:left w:val="nil"/>
              <w:bottom w:val="single" w:sz="4" w:space="0" w:color="000000"/>
              <w:right w:val="single" w:sz="4" w:space="0" w:color="000000"/>
            </w:tcBorders>
            <w:shd w:val="clear" w:color="auto" w:fill="auto"/>
            <w:vAlign w:val="bottom"/>
          </w:tcPr>
          <w:p w14:paraId="1E80FA64"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0</w:t>
            </w:r>
          </w:p>
        </w:tc>
        <w:tc>
          <w:tcPr>
            <w:tcW w:w="2280" w:type="dxa"/>
            <w:tcBorders>
              <w:top w:val="nil"/>
              <w:left w:val="nil"/>
              <w:bottom w:val="single" w:sz="4" w:space="0" w:color="000000"/>
              <w:right w:val="single" w:sz="4" w:space="0" w:color="000000"/>
            </w:tcBorders>
            <w:shd w:val="clear" w:color="auto" w:fill="auto"/>
            <w:vAlign w:val="bottom"/>
          </w:tcPr>
          <w:p w14:paraId="5512973B"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0</w:t>
            </w:r>
          </w:p>
        </w:tc>
        <w:tc>
          <w:tcPr>
            <w:tcW w:w="2090" w:type="dxa"/>
            <w:tcBorders>
              <w:top w:val="nil"/>
              <w:left w:val="nil"/>
              <w:bottom w:val="single" w:sz="4" w:space="0" w:color="000000"/>
              <w:right w:val="single" w:sz="8" w:space="0" w:color="000000"/>
            </w:tcBorders>
            <w:shd w:val="clear" w:color="auto" w:fill="auto"/>
            <w:vAlign w:val="bottom"/>
          </w:tcPr>
          <w:p w14:paraId="4540A885"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0</w:t>
            </w:r>
          </w:p>
        </w:tc>
      </w:tr>
      <w:tr w:rsidR="00290180" w14:paraId="4B069550" w14:textId="77777777" w:rsidTr="00B85E4E">
        <w:trPr>
          <w:trHeight w:val="315"/>
        </w:trPr>
        <w:tc>
          <w:tcPr>
            <w:tcW w:w="2457" w:type="dxa"/>
            <w:tcBorders>
              <w:top w:val="nil"/>
              <w:left w:val="single" w:sz="8" w:space="0" w:color="000000"/>
              <w:bottom w:val="single" w:sz="4" w:space="0" w:color="000000"/>
              <w:right w:val="single" w:sz="4" w:space="0" w:color="000000"/>
            </w:tcBorders>
            <w:shd w:val="clear" w:color="auto" w:fill="DDD9C3" w:themeFill="background2" w:themeFillShade="E6"/>
            <w:vAlign w:val="bottom"/>
          </w:tcPr>
          <w:p w14:paraId="48FE4E9D"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From 20 to 24</w:t>
            </w:r>
          </w:p>
        </w:tc>
        <w:tc>
          <w:tcPr>
            <w:tcW w:w="2182" w:type="dxa"/>
            <w:tcBorders>
              <w:top w:val="nil"/>
              <w:left w:val="nil"/>
              <w:bottom w:val="single" w:sz="4" w:space="0" w:color="000000"/>
              <w:right w:val="single" w:sz="4" w:space="0" w:color="000000"/>
            </w:tcBorders>
            <w:shd w:val="clear" w:color="auto" w:fill="auto"/>
            <w:vAlign w:val="bottom"/>
          </w:tcPr>
          <w:p w14:paraId="5F1AC569"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2</w:t>
            </w:r>
          </w:p>
        </w:tc>
        <w:tc>
          <w:tcPr>
            <w:tcW w:w="2280" w:type="dxa"/>
            <w:tcBorders>
              <w:top w:val="nil"/>
              <w:left w:val="nil"/>
              <w:bottom w:val="single" w:sz="4" w:space="0" w:color="000000"/>
              <w:right w:val="single" w:sz="4" w:space="0" w:color="000000"/>
            </w:tcBorders>
            <w:shd w:val="clear" w:color="auto" w:fill="auto"/>
            <w:vAlign w:val="bottom"/>
          </w:tcPr>
          <w:p w14:paraId="211427F6"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1</w:t>
            </w:r>
          </w:p>
        </w:tc>
        <w:tc>
          <w:tcPr>
            <w:tcW w:w="2090" w:type="dxa"/>
            <w:tcBorders>
              <w:top w:val="nil"/>
              <w:left w:val="nil"/>
              <w:bottom w:val="single" w:sz="4" w:space="0" w:color="000000"/>
              <w:right w:val="single" w:sz="8" w:space="0" w:color="000000"/>
            </w:tcBorders>
            <w:shd w:val="clear" w:color="auto" w:fill="auto"/>
            <w:vAlign w:val="bottom"/>
          </w:tcPr>
          <w:p w14:paraId="1D4DC18A"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0</w:t>
            </w:r>
          </w:p>
        </w:tc>
      </w:tr>
      <w:tr w:rsidR="00290180" w14:paraId="0AF55406" w14:textId="77777777" w:rsidTr="00B85E4E">
        <w:trPr>
          <w:trHeight w:val="171"/>
        </w:trPr>
        <w:tc>
          <w:tcPr>
            <w:tcW w:w="2457" w:type="dxa"/>
            <w:tcBorders>
              <w:top w:val="nil"/>
              <w:left w:val="single" w:sz="8" w:space="0" w:color="000000"/>
              <w:bottom w:val="single" w:sz="4" w:space="0" w:color="000000"/>
              <w:right w:val="single" w:sz="4" w:space="0" w:color="000000"/>
            </w:tcBorders>
            <w:shd w:val="clear" w:color="auto" w:fill="DDD9C3" w:themeFill="background2" w:themeFillShade="E6"/>
            <w:vAlign w:val="bottom"/>
          </w:tcPr>
          <w:p w14:paraId="569AF128"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From 24 to 28</w:t>
            </w:r>
          </w:p>
          <w:p w14:paraId="1122763B" w14:textId="77777777" w:rsidR="00290180" w:rsidRDefault="00290180" w:rsidP="00B85E4E">
            <w:pPr>
              <w:jc w:val="center"/>
              <w:rPr>
                <w:rFonts w:ascii="Calibri" w:eastAsia="Calibri" w:hAnsi="Calibri" w:cs="Calibri"/>
                <w:color w:val="000000"/>
              </w:rPr>
            </w:pPr>
          </w:p>
        </w:tc>
        <w:tc>
          <w:tcPr>
            <w:tcW w:w="2182" w:type="dxa"/>
            <w:tcBorders>
              <w:top w:val="nil"/>
              <w:left w:val="nil"/>
              <w:bottom w:val="single" w:sz="4" w:space="0" w:color="000000"/>
              <w:right w:val="single" w:sz="4" w:space="0" w:color="000000"/>
            </w:tcBorders>
            <w:shd w:val="clear" w:color="auto" w:fill="auto"/>
            <w:vAlign w:val="bottom"/>
          </w:tcPr>
          <w:p w14:paraId="721E8215"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2</w:t>
            </w:r>
          </w:p>
        </w:tc>
        <w:tc>
          <w:tcPr>
            <w:tcW w:w="2280" w:type="dxa"/>
            <w:tcBorders>
              <w:top w:val="nil"/>
              <w:left w:val="nil"/>
              <w:bottom w:val="single" w:sz="4" w:space="0" w:color="000000"/>
              <w:right w:val="single" w:sz="4" w:space="0" w:color="000000"/>
            </w:tcBorders>
            <w:shd w:val="clear" w:color="auto" w:fill="auto"/>
            <w:vAlign w:val="bottom"/>
          </w:tcPr>
          <w:p w14:paraId="177158DE"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0</w:t>
            </w:r>
          </w:p>
        </w:tc>
        <w:tc>
          <w:tcPr>
            <w:tcW w:w="2090" w:type="dxa"/>
            <w:tcBorders>
              <w:top w:val="nil"/>
              <w:left w:val="nil"/>
              <w:bottom w:val="single" w:sz="4" w:space="0" w:color="000000"/>
              <w:right w:val="single" w:sz="8" w:space="0" w:color="000000"/>
            </w:tcBorders>
            <w:shd w:val="clear" w:color="auto" w:fill="auto"/>
            <w:vAlign w:val="bottom"/>
          </w:tcPr>
          <w:p w14:paraId="726AEC3A"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0</w:t>
            </w:r>
          </w:p>
        </w:tc>
      </w:tr>
      <w:tr w:rsidR="00290180" w14:paraId="0AC0EE4B" w14:textId="77777777" w:rsidTr="00B85E4E">
        <w:trPr>
          <w:trHeight w:val="315"/>
        </w:trPr>
        <w:tc>
          <w:tcPr>
            <w:tcW w:w="2457" w:type="dxa"/>
            <w:tcBorders>
              <w:top w:val="nil"/>
              <w:left w:val="single" w:sz="8" w:space="0" w:color="000000"/>
              <w:bottom w:val="single" w:sz="8" w:space="0" w:color="000000"/>
              <w:right w:val="single" w:sz="4" w:space="0" w:color="000000"/>
            </w:tcBorders>
            <w:shd w:val="clear" w:color="auto" w:fill="DDD9C3" w:themeFill="background2" w:themeFillShade="E6"/>
            <w:vAlign w:val="bottom"/>
          </w:tcPr>
          <w:p w14:paraId="00A533D7"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More</w:t>
            </w:r>
          </w:p>
        </w:tc>
        <w:tc>
          <w:tcPr>
            <w:tcW w:w="2182" w:type="dxa"/>
            <w:tcBorders>
              <w:top w:val="nil"/>
              <w:left w:val="nil"/>
              <w:bottom w:val="single" w:sz="8" w:space="0" w:color="000000"/>
              <w:right w:val="single" w:sz="4" w:space="0" w:color="000000"/>
            </w:tcBorders>
            <w:shd w:val="clear" w:color="auto" w:fill="auto"/>
            <w:vAlign w:val="bottom"/>
          </w:tcPr>
          <w:p w14:paraId="5CC2616C"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0</w:t>
            </w:r>
          </w:p>
        </w:tc>
        <w:tc>
          <w:tcPr>
            <w:tcW w:w="2280" w:type="dxa"/>
            <w:tcBorders>
              <w:top w:val="nil"/>
              <w:left w:val="nil"/>
              <w:bottom w:val="single" w:sz="8" w:space="0" w:color="000000"/>
              <w:right w:val="single" w:sz="4" w:space="0" w:color="000000"/>
            </w:tcBorders>
            <w:shd w:val="clear" w:color="auto" w:fill="auto"/>
            <w:vAlign w:val="bottom"/>
          </w:tcPr>
          <w:p w14:paraId="28204D6B"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0</w:t>
            </w:r>
          </w:p>
        </w:tc>
        <w:tc>
          <w:tcPr>
            <w:tcW w:w="2090" w:type="dxa"/>
            <w:tcBorders>
              <w:top w:val="nil"/>
              <w:left w:val="nil"/>
              <w:bottom w:val="single" w:sz="8" w:space="0" w:color="000000"/>
              <w:right w:val="single" w:sz="8" w:space="0" w:color="000000"/>
            </w:tcBorders>
            <w:shd w:val="clear" w:color="auto" w:fill="auto"/>
            <w:vAlign w:val="bottom"/>
          </w:tcPr>
          <w:p w14:paraId="7A46D75C" w14:textId="77777777" w:rsidR="00290180" w:rsidRDefault="00000000" w:rsidP="00B85E4E">
            <w:pPr>
              <w:jc w:val="center"/>
              <w:rPr>
                <w:rFonts w:ascii="Calibri" w:eastAsia="Calibri" w:hAnsi="Calibri" w:cs="Calibri"/>
                <w:color w:val="000000"/>
              </w:rPr>
            </w:pPr>
            <w:r>
              <w:rPr>
                <w:rFonts w:ascii="Calibri" w:eastAsia="Calibri" w:hAnsi="Calibri" w:cs="Calibri"/>
                <w:color w:val="000000"/>
              </w:rPr>
              <w:t>0</w:t>
            </w:r>
          </w:p>
        </w:tc>
      </w:tr>
    </w:tbl>
    <w:p w14:paraId="74ED8A64" w14:textId="77777777" w:rsidR="00290180" w:rsidRDefault="00000000" w:rsidP="00B043CA">
      <w:pPr>
        <w:spacing w:line="360" w:lineRule="auto"/>
        <w:ind w:firstLine="720"/>
        <w:jc w:val="center"/>
      </w:pPr>
      <w:r w:rsidRPr="00B85E4E">
        <w:rPr>
          <w:b/>
          <w:bCs/>
          <w:i/>
          <w:iCs/>
        </w:rPr>
        <w:t>Table 6</w:t>
      </w:r>
      <w:r>
        <w:t>: Table of frequency distribution of neonatal mortality rate in three different groups of countries in 2017.</w:t>
      </w:r>
    </w:p>
    <w:p w14:paraId="57E31CE2" w14:textId="77777777" w:rsidR="00290180" w:rsidRDefault="00000000">
      <w:pPr>
        <w:spacing w:line="360" w:lineRule="auto"/>
      </w:pPr>
      <w:r>
        <w:rPr>
          <w:noProof/>
        </w:rPr>
        <w:lastRenderedPageBreak/>
        <w:drawing>
          <wp:inline distT="114300" distB="114300" distL="114300" distR="114300" wp14:anchorId="69B23157" wp14:editId="741BD3BC">
            <wp:extent cx="5731200" cy="1930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1930400"/>
                    </a:xfrm>
                    <a:prstGeom prst="rect">
                      <a:avLst/>
                    </a:prstGeom>
                    <a:ln/>
                  </pic:spPr>
                </pic:pic>
              </a:graphicData>
            </a:graphic>
          </wp:inline>
        </w:drawing>
      </w:r>
    </w:p>
    <w:p w14:paraId="3ED7DC00" w14:textId="77777777" w:rsidR="00290180" w:rsidRDefault="00000000">
      <w:pPr>
        <w:spacing w:line="360" w:lineRule="auto"/>
        <w:ind w:firstLine="720"/>
        <w:jc w:val="center"/>
      </w:pPr>
      <w:r w:rsidRPr="00B85E4E">
        <w:rPr>
          <w:b/>
          <w:bCs/>
          <w:i/>
          <w:iCs/>
        </w:rPr>
        <w:t>Figure 1</w:t>
      </w:r>
      <w:r>
        <w:t>: Histogram of neonatal mortality rate in low-income countries in 2017.</w:t>
      </w:r>
      <w:r>
        <w:tab/>
      </w:r>
    </w:p>
    <w:p w14:paraId="7A1FB3EE" w14:textId="77777777" w:rsidR="00290180" w:rsidRDefault="00000000">
      <w:pPr>
        <w:spacing w:line="360" w:lineRule="auto"/>
      </w:pPr>
      <w:r>
        <w:rPr>
          <w:noProof/>
        </w:rPr>
        <w:drawing>
          <wp:inline distT="114300" distB="114300" distL="114300" distR="114300" wp14:anchorId="6A96BA2C" wp14:editId="337112F6">
            <wp:extent cx="5731200" cy="19304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1930400"/>
                    </a:xfrm>
                    <a:prstGeom prst="rect">
                      <a:avLst/>
                    </a:prstGeom>
                    <a:ln/>
                  </pic:spPr>
                </pic:pic>
              </a:graphicData>
            </a:graphic>
          </wp:inline>
        </w:drawing>
      </w:r>
    </w:p>
    <w:p w14:paraId="2D4699B0" w14:textId="77777777" w:rsidR="00290180" w:rsidRDefault="00000000">
      <w:pPr>
        <w:spacing w:line="360" w:lineRule="auto"/>
      </w:pPr>
      <w:r>
        <w:tab/>
      </w:r>
      <w:r w:rsidRPr="00B85E4E">
        <w:rPr>
          <w:b/>
          <w:bCs/>
          <w:i/>
          <w:iCs/>
        </w:rPr>
        <w:t>Figure 2</w:t>
      </w:r>
      <w:r>
        <w:t>: Histogram of neonatal mortality rate in middle-income countries in 2017.</w:t>
      </w:r>
    </w:p>
    <w:p w14:paraId="0882C1E4" w14:textId="77777777" w:rsidR="00290180" w:rsidRDefault="00000000">
      <w:pPr>
        <w:spacing w:line="360" w:lineRule="auto"/>
      </w:pPr>
      <w:r>
        <w:rPr>
          <w:noProof/>
        </w:rPr>
        <w:drawing>
          <wp:inline distT="114300" distB="114300" distL="114300" distR="114300" wp14:anchorId="13F12D34" wp14:editId="265FE275">
            <wp:extent cx="5731200" cy="1892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1892300"/>
                    </a:xfrm>
                    <a:prstGeom prst="rect">
                      <a:avLst/>
                    </a:prstGeom>
                    <a:ln/>
                  </pic:spPr>
                </pic:pic>
              </a:graphicData>
            </a:graphic>
          </wp:inline>
        </w:drawing>
      </w:r>
    </w:p>
    <w:p w14:paraId="1B551036" w14:textId="26B1F61C" w:rsidR="00290180" w:rsidRDefault="00000000" w:rsidP="00B043CA">
      <w:pPr>
        <w:spacing w:line="360" w:lineRule="auto"/>
        <w:ind w:firstLine="360"/>
        <w:jc w:val="center"/>
      </w:pPr>
      <w:r w:rsidRPr="00B85E4E">
        <w:rPr>
          <w:b/>
          <w:bCs/>
          <w:i/>
          <w:iCs/>
        </w:rPr>
        <w:t>Figure 3</w:t>
      </w:r>
      <w:r>
        <w:t>: Histogram of neonatal mortality rate in high-income countries in 2017.</w:t>
      </w:r>
    </w:p>
    <w:p w14:paraId="295BACED" w14:textId="77777777" w:rsidR="00290180" w:rsidRDefault="00000000">
      <w:pPr>
        <w:numPr>
          <w:ilvl w:val="0"/>
          <w:numId w:val="5"/>
        </w:numPr>
        <w:spacing w:line="360" w:lineRule="auto"/>
      </w:pPr>
      <w:r>
        <w:t>The data for middle-income and high-income countries are skewed to the right, whilst data for low-income countries are slanted to the left. Low- and high-income nations tend to be spread towards the two ends of the analyzed range, whereas middle-income nations have a more uniform distribution. One of the aspects that must be considered is that data from low-income nations are distributed at a higher rate of newborn death than those from high and middle-income countries.</w:t>
      </w:r>
    </w:p>
    <w:p w14:paraId="3D05DA9D" w14:textId="77777777" w:rsidR="00290180" w:rsidRPr="00B043CA" w:rsidRDefault="00000000">
      <w:pPr>
        <w:numPr>
          <w:ilvl w:val="0"/>
          <w:numId w:val="14"/>
        </w:numPr>
        <w:pBdr>
          <w:top w:val="nil"/>
          <w:left w:val="nil"/>
          <w:bottom w:val="nil"/>
          <w:right w:val="nil"/>
          <w:between w:val="nil"/>
        </w:pBdr>
        <w:spacing w:line="360" w:lineRule="auto"/>
        <w:rPr>
          <w:rFonts w:eastAsia="Arial"/>
          <w:color w:val="000000"/>
          <w:sz w:val="28"/>
          <w:szCs w:val="28"/>
        </w:rPr>
      </w:pPr>
      <w:r w:rsidRPr="00B043CA">
        <w:rPr>
          <w:rFonts w:eastAsia="Arial"/>
          <w:color w:val="000000"/>
          <w:sz w:val="28"/>
          <w:szCs w:val="28"/>
        </w:rPr>
        <w:t>Confidence Interval</w:t>
      </w:r>
    </w:p>
    <w:p w14:paraId="24A07CB3" w14:textId="77777777" w:rsidR="00290180" w:rsidRDefault="00000000">
      <w:pPr>
        <w:numPr>
          <w:ilvl w:val="0"/>
          <w:numId w:val="3"/>
        </w:numPr>
        <w:spacing w:line="360" w:lineRule="auto"/>
      </w:pPr>
      <w:r>
        <w:lastRenderedPageBreak/>
        <w:t>Calculation</w:t>
      </w:r>
    </w:p>
    <w:p w14:paraId="3BDC9354" w14:textId="77777777" w:rsidR="00290180" w:rsidRDefault="00000000">
      <w:pPr>
        <w:numPr>
          <w:ilvl w:val="0"/>
          <w:numId w:val="22"/>
        </w:numPr>
        <w:spacing w:line="360" w:lineRule="auto"/>
      </w:pPr>
      <w:r>
        <w:t>A confidence interval computes an estimated range of values for a population parameter whose value is unknown; this range is derived from sample data (Easton and John H.Macoll et al). In this circumstance, the confidence interval is calculated using the t-value because the population sample deviation is unknown. Assumes the dataset has a level of confidence of 95% and a significance level of 5%.</w:t>
      </w:r>
    </w:p>
    <w:tbl>
      <w:tblPr>
        <w:tblStyle w:val="ab"/>
        <w:tblW w:w="8745" w:type="dxa"/>
        <w:tblBorders>
          <w:top w:val="nil"/>
          <w:left w:val="nil"/>
          <w:bottom w:val="nil"/>
          <w:right w:val="nil"/>
          <w:insideH w:val="nil"/>
          <w:insideV w:val="nil"/>
        </w:tblBorders>
        <w:tblLayout w:type="fixed"/>
        <w:tblLook w:val="0600" w:firstRow="0" w:lastRow="0" w:firstColumn="0" w:lastColumn="0" w:noHBand="1" w:noVBand="1"/>
      </w:tblPr>
      <w:tblGrid>
        <w:gridCol w:w="3600"/>
        <w:gridCol w:w="5145"/>
      </w:tblGrid>
      <w:tr w:rsidR="00290180" w14:paraId="448B525A" w14:textId="77777777" w:rsidTr="00B85E4E">
        <w:trPr>
          <w:trHeight w:val="452"/>
        </w:trPr>
        <w:tc>
          <w:tcPr>
            <w:tcW w:w="36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Mar>
              <w:top w:w="20" w:type="dxa"/>
              <w:left w:w="20" w:type="dxa"/>
              <w:bottom w:w="100" w:type="dxa"/>
              <w:right w:w="20" w:type="dxa"/>
            </w:tcMar>
            <w:vAlign w:val="bottom"/>
          </w:tcPr>
          <w:p w14:paraId="180CCF1E" w14:textId="77777777" w:rsidR="00290180" w:rsidRPr="00B043CA" w:rsidRDefault="00000000" w:rsidP="00B043CA">
            <w:pPr>
              <w:widowControl w:val="0"/>
              <w:pBdr>
                <w:top w:val="nil"/>
                <w:left w:val="nil"/>
                <w:bottom w:val="nil"/>
                <w:right w:val="nil"/>
                <w:between w:val="nil"/>
              </w:pBdr>
              <w:jc w:val="center"/>
            </w:pPr>
            <w:r w:rsidRPr="00B043CA">
              <w:t>Significance Level</w:t>
            </w:r>
          </w:p>
        </w:tc>
        <w:tc>
          <w:tcPr>
            <w:tcW w:w="5145" w:type="dxa"/>
            <w:tcBorders>
              <w:top w:val="single" w:sz="4" w:space="0" w:color="000000"/>
              <w:left w:val="nil"/>
              <w:bottom w:val="single" w:sz="4" w:space="0" w:color="000000"/>
              <w:right w:val="single" w:sz="4" w:space="0" w:color="000000"/>
            </w:tcBorders>
            <w:tcMar>
              <w:top w:w="20" w:type="dxa"/>
              <w:left w:w="20" w:type="dxa"/>
              <w:bottom w:w="100" w:type="dxa"/>
              <w:right w:w="20" w:type="dxa"/>
            </w:tcMar>
            <w:vAlign w:val="bottom"/>
          </w:tcPr>
          <w:p w14:paraId="3E725DF5" w14:textId="77777777" w:rsidR="00290180" w:rsidRPr="00B043CA" w:rsidRDefault="00000000" w:rsidP="00B043CA">
            <w:pPr>
              <w:widowControl w:val="0"/>
              <w:pBdr>
                <w:top w:val="nil"/>
                <w:left w:val="nil"/>
                <w:bottom w:val="nil"/>
                <w:right w:val="nil"/>
                <w:between w:val="nil"/>
              </w:pBdr>
              <w:jc w:val="center"/>
            </w:pPr>
            <w:r w:rsidRPr="00B043CA">
              <w:t>5%</w:t>
            </w:r>
          </w:p>
        </w:tc>
      </w:tr>
      <w:tr w:rsidR="00290180" w14:paraId="6E4F688A" w14:textId="77777777" w:rsidTr="00B85E4E">
        <w:trPr>
          <w:trHeight w:val="415"/>
        </w:trPr>
        <w:tc>
          <w:tcPr>
            <w:tcW w:w="3600" w:type="dxa"/>
            <w:tcBorders>
              <w:top w:val="nil"/>
              <w:left w:val="single" w:sz="4" w:space="0" w:color="000000"/>
              <w:bottom w:val="single" w:sz="4" w:space="0" w:color="000000"/>
              <w:right w:val="single" w:sz="4" w:space="0" w:color="000000"/>
            </w:tcBorders>
            <w:shd w:val="clear" w:color="auto" w:fill="DDD9C3" w:themeFill="background2" w:themeFillShade="E6"/>
            <w:tcMar>
              <w:top w:w="20" w:type="dxa"/>
              <w:left w:w="20" w:type="dxa"/>
              <w:bottom w:w="100" w:type="dxa"/>
              <w:right w:w="20" w:type="dxa"/>
            </w:tcMar>
            <w:vAlign w:val="bottom"/>
          </w:tcPr>
          <w:p w14:paraId="2FE31213" w14:textId="77777777" w:rsidR="00290180" w:rsidRPr="00B043CA" w:rsidRDefault="00000000" w:rsidP="00B043CA">
            <w:pPr>
              <w:widowControl w:val="0"/>
              <w:pBdr>
                <w:top w:val="nil"/>
                <w:left w:val="nil"/>
                <w:bottom w:val="nil"/>
                <w:right w:val="nil"/>
                <w:between w:val="nil"/>
              </w:pBdr>
              <w:jc w:val="center"/>
            </w:pPr>
            <w:r w:rsidRPr="00B043CA">
              <w:t>Confidence Level</w:t>
            </w:r>
          </w:p>
        </w:tc>
        <w:tc>
          <w:tcPr>
            <w:tcW w:w="514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35393267" w14:textId="77777777" w:rsidR="00290180" w:rsidRPr="00B043CA" w:rsidRDefault="00000000" w:rsidP="00B043CA">
            <w:pPr>
              <w:widowControl w:val="0"/>
              <w:pBdr>
                <w:top w:val="nil"/>
                <w:left w:val="nil"/>
                <w:bottom w:val="nil"/>
                <w:right w:val="nil"/>
                <w:between w:val="nil"/>
              </w:pBdr>
              <w:jc w:val="center"/>
            </w:pPr>
            <w:r w:rsidRPr="00B043CA">
              <w:t>95%</w:t>
            </w:r>
          </w:p>
        </w:tc>
      </w:tr>
      <w:tr w:rsidR="00290180" w14:paraId="4F8E1ED7" w14:textId="77777777" w:rsidTr="00B85E4E">
        <w:trPr>
          <w:trHeight w:val="415"/>
        </w:trPr>
        <w:tc>
          <w:tcPr>
            <w:tcW w:w="3600" w:type="dxa"/>
            <w:tcBorders>
              <w:top w:val="nil"/>
              <w:left w:val="single" w:sz="4" w:space="0" w:color="000000"/>
              <w:bottom w:val="single" w:sz="4" w:space="0" w:color="000000"/>
              <w:right w:val="single" w:sz="4" w:space="0" w:color="000000"/>
            </w:tcBorders>
            <w:shd w:val="clear" w:color="auto" w:fill="DDD9C3" w:themeFill="background2" w:themeFillShade="E6"/>
            <w:tcMar>
              <w:top w:w="20" w:type="dxa"/>
              <w:left w:w="20" w:type="dxa"/>
              <w:bottom w:w="100" w:type="dxa"/>
              <w:right w:w="20" w:type="dxa"/>
            </w:tcMar>
            <w:vAlign w:val="bottom"/>
          </w:tcPr>
          <w:p w14:paraId="776A6F24" w14:textId="77777777" w:rsidR="00290180" w:rsidRPr="00B043CA" w:rsidRDefault="00000000" w:rsidP="00B043CA">
            <w:pPr>
              <w:widowControl w:val="0"/>
              <w:pBdr>
                <w:top w:val="nil"/>
                <w:left w:val="nil"/>
                <w:bottom w:val="nil"/>
                <w:right w:val="nil"/>
                <w:between w:val="nil"/>
              </w:pBdr>
              <w:jc w:val="center"/>
            </w:pPr>
            <w:r w:rsidRPr="00B043CA">
              <w:t>Population SD</w:t>
            </w:r>
          </w:p>
        </w:tc>
        <w:tc>
          <w:tcPr>
            <w:tcW w:w="514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49369F67" w14:textId="77777777" w:rsidR="00290180" w:rsidRPr="00B043CA" w:rsidRDefault="00000000" w:rsidP="00B043CA">
            <w:pPr>
              <w:widowControl w:val="0"/>
              <w:pBdr>
                <w:top w:val="nil"/>
                <w:left w:val="nil"/>
                <w:bottom w:val="nil"/>
                <w:right w:val="nil"/>
                <w:between w:val="nil"/>
              </w:pBdr>
              <w:jc w:val="center"/>
            </w:pPr>
            <w:r w:rsidRPr="00B043CA">
              <w:t>unknown</w:t>
            </w:r>
          </w:p>
        </w:tc>
      </w:tr>
      <w:tr w:rsidR="00290180" w14:paraId="41DABB2D" w14:textId="77777777" w:rsidTr="00B85E4E">
        <w:trPr>
          <w:trHeight w:val="415"/>
        </w:trPr>
        <w:tc>
          <w:tcPr>
            <w:tcW w:w="3600" w:type="dxa"/>
            <w:tcBorders>
              <w:top w:val="nil"/>
              <w:left w:val="single" w:sz="4" w:space="0" w:color="000000"/>
              <w:bottom w:val="single" w:sz="4" w:space="0" w:color="000000"/>
              <w:right w:val="single" w:sz="4" w:space="0" w:color="000000"/>
            </w:tcBorders>
            <w:shd w:val="clear" w:color="auto" w:fill="DDD9C3" w:themeFill="background2" w:themeFillShade="E6"/>
            <w:tcMar>
              <w:top w:w="20" w:type="dxa"/>
              <w:left w:w="20" w:type="dxa"/>
              <w:bottom w:w="100" w:type="dxa"/>
              <w:right w:w="20" w:type="dxa"/>
            </w:tcMar>
            <w:vAlign w:val="bottom"/>
          </w:tcPr>
          <w:p w14:paraId="1A41F194" w14:textId="77777777" w:rsidR="00290180" w:rsidRPr="00B043CA" w:rsidRDefault="00000000" w:rsidP="00B043CA">
            <w:pPr>
              <w:widowControl w:val="0"/>
              <w:pBdr>
                <w:top w:val="nil"/>
                <w:left w:val="nil"/>
                <w:bottom w:val="nil"/>
                <w:right w:val="nil"/>
                <w:between w:val="nil"/>
              </w:pBdr>
              <w:jc w:val="center"/>
            </w:pPr>
            <w:r w:rsidRPr="00B043CA">
              <w:t>Sample SD (S)</w:t>
            </w:r>
          </w:p>
        </w:tc>
        <w:tc>
          <w:tcPr>
            <w:tcW w:w="514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6EDD7B93" w14:textId="77777777" w:rsidR="00290180" w:rsidRPr="00B043CA" w:rsidRDefault="00000000" w:rsidP="00B043CA">
            <w:pPr>
              <w:widowControl w:val="0"/>
              <w:pBdr>
                <w:top w:val="nil"/>
                <w:left w:val="nil"/>
                <w:bottom w:val="nil"/>
                <w:right w:val="nil"/>
                <w:between w:val="nil"/>
              </w:pBdr>
              <w:jc w:val="center"/>
            </w:pPr>
            <w:r w:rsidRPr="00B043CA">
              <w:t>7.91</w:t>
            </w:r>
          </w:p>
        </w:tc>
      </w:tr>
      <w:tr w:rsidR="00290180" w14:paraId="0D0C0126" w14:textId="77777777" w:rsidTr="00B85E4E">
        <w:trPr>
          <w:trHeight w:val="415"/>
        </w:trPr>
        <w:tc>
          <w:tcPr>
            <w:tcW w:w="3600" w:type="dxa"/>
            <w:tcBorders>
              <w:top w:val="nil"/>
              <w:left w:val="single" w:sz="4" w:space="0" w:color="000000"/>
              <w:bottom w:val="single" w:sz="4" w:space="0" w:color="000000"/>
              <w:right w:val="single" w:sz="4" w:space="0" w:color="000000"/>
            </w:tcBorders>
            <w:shd w:val="clear" w:color="auto" w:fill="DDD9C3" w:themeFill="background2" w:themeFillShade="E6"/>
            <w:tcMar>
              <w:top w:w="20" w:type="dxa"/>
              <w:left w:w="20" w:type="dxa"/>
              <w:bottom w:w="100" w:type="dxa"/>
              <w:right w:w="20" w:type="dxa"/>
            </w:tcMar>
            <w:vAlign w:val="bottom"/>
          </w:tcPr>
          <w:p w14:paraId="7F4B8217" w14:textId="0DA4A75A" w:rsidR="00290180" w:rsidRPr="00B043CA" w:rsidRDefault="00000000" w:rsidP="00B043CA">
            <w:pPr>
              <w:widowControl w:val="0"/>
              <w:pBdr>
                <w:top w:val="nil"/>
                <w:left w:val="nil"/>
                <w:bottom w:val="nil"/>
                <w:right w:val="nil"/>
                <w:between w:val="nil"/>
              </w:pBdr>
              <w:jc w:val="center"/>
            </w:pPr>
            <w:r w:rsidRPr="00B043CA">
              <w:t>Sample Mean (</w:t>
            </w:r>
            <m:oMath>
              <m:bar>
                <m:barPr>
                  <m:pos m:val="top"/>
                  <m:ctrlPr>
                    <w:rPr>
                      <w:rFonts w:ascii="Cambria Math" w:hAnsi="Cambria Math"/>
                      <w:i/>
                    </w:rPr>
                  </m:ctrlPr>
                </m:barPr>
                <m:e>
                  <m:r>
                    <w:rPr>
                      <w:rFonts w:ascii="Cambria Math" w:hAnsi="Cambria Math"/>
                    </w:rPr>
                    <m:t>X</m:t>
                  </m:r>
                </m:e>
              </m:bar>
            </m:oMath>
            <w:r w:rsidRPr="00B043CA">
              <w:t>)</w:t>
            </w:r>
          </w:p>
        </w:tc>
        <w:tc>
          <w:tcPr>
            <w:tcW w:w="514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ECA96E8" w14:textId="7A8C7F58" w:rsidR="00290180" w:rsidRPr="00B043CA" w:rsidRDefault="00000000" w:rsidP="00B043CA">
            <w:pPr>
              <w:widowControl w:val="0"/>
              <w:pBdr>
                <w:top w:val="nil"/>
                <w:left w:val="nil"/>
                <w:bottom w:val="nil"/>
                <w:right w:val="nil"/>
                <w:between w:val="nil"/>
              </w:pBdr>
              <w:jc w:val="center"/>
            </w:pPr>
            <w:r w:rsidRPr="00B043CA">
              <w:t>13.27</w:t>
            </w:r>
          </w:p>
        </w:tc>
      </w:tr>
      <w:tr w:rsidR="00290180" w14:paraId="0B9E3737" w14:textId="77777777" w:rsidTr="00B85E4E">
        <w:trPr>
          <w:trHeight w:val="415"/>
        </w:trPr>
        <w:tc>
          <w:tcPr>
            <w:tcW w:w="3600" w:type="dxa"/>
            <w:tcBorders>
              <w:top w:val="nil"/>
              <w:left w:val="single" w:sz="4" w:space="0" w:color="000000"/>
              <w:bottom w:val="single" w:sz="4" w:space="0" w:color="000000"/>
              <w:right w:val="single" w:sz="4" w:space="0" w:color="000000"/>
            </w:tcBorders>
            <w:shd w:val="clear" w:color="auto" w:fill="DDD9C3" w:themeFill="background2" w:themeFillShade="E6"/>
            <w:tcMar>
              <w:top w:w="20" w:type="dxa"/>
              <w:left w:w="20" w:type="dxa"/>
              <w:bottom w:w="100" w:type="dxa"/>
              <w:right w:w="20" w:type="dxa"/>
            </w:tcMar>
            <w:vAlign w:val="bottom"/>
          </w:tcPr>
          <w:p w14:paraId="2094D17E" w14:textId="77777777" w:rsidR="00290180" w:rsidRPr="00B043CA" w:rsidRDefault="00000000" w:rsidP="00B043CA">
            <w:pPr>
              <w:widowControl w:val="0"/>
              <w:pBdr>
                <w:top w:val="nil"/>
                <w:left w:val="nil"/>
                <w:bottom w:val="nil"/>
                <w:right w:val="nil"/>
                <w:between w:val="nil"/>
              </w:pBdr>
              <w:jc w:val="center"/>
            </w:pPr>
            <w:r w:rsidRPr="00B043CA">
              <w:t>Sample Size (n)</w:t>
            </w:r>
          </w:p>
        </w:tc>
        <w:tc>
          <w:tcPr>
            <w:tcW w:w="514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8359B94" w14:textId="77777777" w:rsidR="00290180" w:rsidRPr="00B043CA" w:rsidRDefault="00000000" w:rsidP="00B043CA">
            <w:pPr>
              <w:widowControl w:val="0"/>
              <w:pBdr>
                <w:top w:val="nil"/>
                <w:left w:val="nil"/>
                <w:bottom w:val="nil"/>
                <w:right w:val="nil"/>
                <w:between w:val="nil"/>
              </w:pBdr>
              <w:jc w:val="center"/>
            </w:pPr>
            <w:r w:rsidRPr="00B043CA">
              <w:t>23</w:t>
            </w:r>
          </w:p>
        </w:tc>
      </w:tr>
      <w:tr w:rsidR="00290180" w14:paraId="03C7BFAC" w14:textId="77777777" w:rsidTr="00B85E4E">
        <w:trPr>
          <w:trHeight w:val="415"/>
        </w:trPr>
        <w:tc>
          <w:tcPr>
            <w:tcW w:w="3600" w:type="dxa"/>
            <w:tcBorders>
              <w:top w:val="nil"/>
              <w:left w:val="single" w:sz="4" w:space="0" w:color="000000"/>
              <w:bottom w:val="single" w:sz="4" w:space="0" w:color="000000"/>
              <w:right w:val="single" w:sz="4" w:space="0" w:color="000000"/>
            </w:tcBorders>
            <w:shd w:val="clear" w:color="auto" w:fill="DDD9C3" w:themeFill="background2" w:themeFillShade="E6"/>
            <w:tcMar>
              <w:top w:w="20" w:type="dxa"/>
              <w:left w:w="20" w:type="dxa"/>
              <w:bottom w:w="100" w:type="dxa"/>
              <w:right w:w="20" w:type="dxa"/>
            </w:tcMar>
            <w:vAlign w:val="bottom"/>
          </w:tcPr>
          <w:p w14:paraId="4FB8E02B" w14:textId="77777777" w:rsidR="00290180" w:rsidRPr="00B043CA" w:rsidRDefault="00000000" w:rsidP="00B043CA">
            <w:pPr>
              <w:widowControl w:val="0"/>
              <w:pBdr>
                <w:top w:val="nil"/>
                <w:left w:val="nil"/>
                <w:bottom w:val="nil"/>
                <w:right w:val="nil"/>
                <w:between w:val="nil"/>
              </w:pBdr>
              <w:jc w:val="center"/>
            </w:pPr>
            <w:r w:rsidRPr="00B043CA">
              <w:t>t-value (two-tailed)</w:t>
            </w:r>
          </w:p>
        </w:tc>
        <w:tc>
          <w:tcPr>
            <w:tcW w:w="514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27CAB64" w14:textId="77777777" w:rsidR="00290180" w:rsidRPr="00B043CA" w:rsidRDefault="00000000" w:rsidP="00B043CA">
            <w:pPr>
              <w:widowControl w:val="0"/>
              <w:pBdr>
                <w:top w:val="nil"/>
                <w:left w:val="nil"/>
                <w:bottom w:val="nil"/>
                <w:right w:val="nil"/>
                <w:between w:val="nil"/>
              </w:pBdr>
              <w:jc w:val="center"/>
            </w:pPr>
            <w:r w:rsidRPr="00B043CA">
              <w:t>2.074</w:t>
            </w:r>
          </w:p>
        </w:tc>
      </w:tr>
      <w:tr w:rsidR="00290180" w14:paraId="07AA08FE" w14:textId="77777777" w:rsidTr="00B85E4E">
        <w:trPr>
          <w:trHeight w:val="415"/>
        </w:trPr>
        <w:tc>
          <w:tcPr>
            <w:tcW w:w="3600" w:type="dxa"/>
            <w:tcBorders>
              <w:top w:val="nil"/>
              <w:left w:val="single" w:sz="4" w:space="0" w:color="000000"/>
              <w:bottom w:val="single" w:sz="4" w:space="0" w:color="000000"/>
              <w:right w:val="single" w:sz="4" w:space="0" w:color="000000"/>
            </w:tcBorders>
            <w:shd w:val="clear" w:color="auto" w:fill="DDD9C3" w:themeFill="background2" w:themeFillShade="E6"/>
            <w:tcMar>
              <w:top w:w="20" w:type="dxa"/>
              <w:left w:w="20" w:type="dxa"/>
              <w:bottom w:w="100" w:type="dxa"/>
              <w:right w:w="20" w:type="dxa"/>
            </w:tcMar>
            <w:vAlign w:val="bottom"/>
          </w:tcPr>
          <w:p w14:paraId="2110E0A3" w14:textId="77777777" w:rsidR="00290180" w:rsidRPr="00B043CA" w:rsidRDefault="00000000" w:rsidP="00B043CA">
            <w:pPr>
              <w:widowControl w:val="0"/>
              <w:pBdr>
                <w:top w:val="nil"/>
                <w:left w:val="nil"/>
                <w:bottom w:val="nil"/>
                <w:right w:val="nil"/>
                <w:between w:val="nil"/>
              </w:pBdr>
              <w:jc w:val="center"/>
            </w:pPr>
            <w:r w:rsidRPr="00B043CA">
              <w:t>Lower bound</w:t>
            </w:r>
          </w:p>
        </w:tc>
        <w:tc>
          <w:tcPr>
            <w:tcW w:w="514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1F868BB3" w14:textId="77777777" w:rsidR="00290180" w:rsidRPr="00B043CA" w:rsidRDefault="00000000" w:rsidP="00B043CA">
            <w:pPr>
              <w:widowControl w:val="0"/>
              <w:pBdr>
                <w:top w:val="nil"/>
                <w:left w:val="nil"/>
                <w:bottom w:val="nil"/>
                <w:right w:val="nil"/>
                <w:between w:val="nil"/>
              </w:pBdr>
              <w:jc w:val="center"/>
            </w:pPr>
            <w:r w:rsidRPr="00B043CA">
              <w:t>9.85</w:t>
            </w:r>
          </w:p>
        </w:tc>
      </w:tr>
      <w:tr w:rsidR="00290180" w14:paraId="3F7BB08C" w14:textId="77777777" w:rsidTr="00B85E4E">
        <w:trPr>
          <w:trHeight w:val="415"/>
        </w:trPr>
        <w:tc>
          <w:tcPr>
            <w:tcW w:w="3600" w:type="dxa"/>
            <w:tcBorders>
              <w:top w:val="nil"/>
              <w:left w:val="single" w:sz="4" w:space="0" w:color="000000"/>
              <w:bottom w:val="single" w:sz="4" w:space="0" w:color="000000"/>
              <w:right w:val="single" w:sz="4" w:space="0" w:color="000000"/>
            </w:tcBorders>
            <w:shd w:val="clear" w:color="auto" w:fill="DDD9C3" w:themeFill="background2" w:themeFillShade="E6"/>
            <w:tcMar>
              <w:top w:w="20" w:type="dxa"/>
              <w:left w:w="20" w:type="dxa"/>
              <w:bottom w:w="100" w:type="dxa"/>
              <w:right w:w="20" w:type="dxa"/>
            </w:tcMar>
            <w:vAlign w:val="bottom"/>
          </w:tcPr>
          <w:p w14:paraId="2127A186" w14:textId="77777777" w:rsidR="00290180" w:rsidRPr="00B043CA" w:rsidRDefault="00000000" w:rsidP="00B043CA">
            <w:pPr>
              <w:widowControl w:val="0"/>
              <w:pBdr>
                <w:top w:val="nil"/>
                <w:left w:val="nil"/>
                <w:bottom w:val="nil"/>
                <w:right w:val="nil"/>
                <w:between w:val="nil"/>
              </w:pBdr>
              <w:jc w:val="center"/>
            </w:pPr>
            <w:r w:rsidRPr="00B043CA">
              <w:t>Upper bound</w:t>
            </w:r>
          </w:p>
        </w:tc>
        <w:tc>
          <w:tcPr>
            <w:tcW w:w="514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086C5814" w14:textId="7AFE4143" w:rsidR="00290180" w:rsidRPr="00B043CA" w:rsidRDefault="00000000" w:rsidP="00B043CA">
            <w:pPr>
              <w:widowControl w:val="0"/>
              <w:pBdr>
                <w:top w:val="nil"/>
                <w:left w:val="nil"/>
                <w:bottom w:val="nil"/>
                <w:right w:val="nil"/>
                <w:between w:val="nil"/>
              </w:pBdr>
              <w:jc w:val="center"/>
            </w:pPr>
            <w:r w:rsidRPr="00B043CA">
              <w:t>16.69</w:t>
            </w:r>
          </w:p>
        </w:tc>
      </w:tr>
      <w:tr w:rsidR="00290180" w14:paraId="132ED918" w14:textId="77777777" w:rsidTr="00B85E4E">
        <w:trPr>
          <w:trHeight w:val="415"/>
        </w:trPr>
        <w:tc>
          <w:tcPr>
            <w:tcW w:w="3600" w:type="dxa"/>
            <w:tcBorders>
              <w:top w:val="nil"/>
              <w:left w:val="single" w:sz="4" w:space="0" w:color="000000"/>
              <w:bottom w:val="single" w:sz="4" w:space="0" w:color="000000"/>
              <w:right w:val="single" w:sz="4" w:space="0" w:color="000000"/>
            </w:tcBorders>
            <w:shd w:val="clear" w:color="auto" w:fill="DDD9C3" w:themeFill="background2" w:themeFillShade="E6"/>
            <w:tcMar>
              <w:top w:w="20" w:type="dxa"/>
              <w:left w:w="20" w:type="dxa"/>
              <w:bottom w:w="100" w:type="dxa"/>
              <w:right w:w="20" w:type="dxa"/>
            </w:tcMar>
            <w:vAlign w:val="bottom"/>
          </w:tcPr>
          <w:p w14:paraId="0730D2AD" w14:textId="77777777" w:rsidR="00290180" w:rsidRPr="00B043CA" w:rsidRDefault="00000000" w:rsidP="00B043CA">
            <w:pPr>
              <w:widowControl w:val="0"/>
              <w:pBdr>
                <w:top w:val="nil"/>
                <w:left w:val="nil"/>
                <w:bottom w:val="nil"/>
                <w:right w:val="nil"/>
                <w:between w:val="nil"/>
              </w:pBdr>
              <w:jc w:val="center"/>
            </w:pPr>
            <w:r w:rsidRPr="00B043CA">
              <w:t>Degree of freedom</w:t>
            </w:r>
          </w:p>
        </w:tc>
        <w:tc>
          <w:tcPr>
            <w:tcW w:w="5145" w:type="dxa"/>
            <w:tcBorders>
              <w:top w:val="nil"/>
              <w:left w:val="nil"/>
              <w:bottom w:val="single" w:sz="4" w:space="0" w:color="000000"/>
              <w:right w:val="single" w:sz="4" w:space="0" w:color="000000"/>
            </w:tcBorders>
            <w:tcMar>
              <w:top w:w="20" w:type="dxa"/>
              <w:left w:w="20" w:type="dxa"/>
              <w:bottom w:w="100" w:type="dxa"/>
              <w:right w:w="20" w:type="dxa"/>
            </w:tcMar>
            <w:vAlign w:val="bottom"/>
          </w:tcPr>
          <w:p w14:paraId="770EF08A" w14:textId="77777777" w:rsidR="00290180" w:rsidRPr="00B043CA" w:rsidRDefault="00000000" w:rsidP="00B043CA">
            <w:pPr>
              <w:widowControl w:val="0"/>
              <w:pBdr>
                <w:top w:val="nil"/>
                <w:left w:val="nil"/>
                <w:bottom w:val="nil"/>
                <w:right w:val="nil"/>
                <w:between w:val="nil"/>
              </w:pBdr>
              <w:jc w:val="center"/>
            </w:pPr>
            <w:r w:rsidRPr="00B043CA">
              <w:t>22</w:t>
            </w:r>
          </w:p>
        </w:tc>
      </w:tr>
    </w:tbl>
    <w:p w14:paraId="074B240C" w14:textId="77777777" w:rsidR="00290180" w:rsidRDefault="00000000">
      <w:pPr>
        <w:spacing w:line="360" w:lineRule="auto"/>
        <w:jc w:val="center"/>
      </w:pPr>
      <w:r>
        <w:tab/>
      </w:r>
      <w:r w:rsidRPr="00F45EA0">
        <w:rPr>
          <w:b/>
          <w:bCs/>
          <w:i/>
          <w:iCs/>
        </w:rPr>
        <w:t>Table 7</w:t>
      </w:r>
      <w:r>
        <w:t xml:space="preserve">: Statistics represents confidence intervals for neonatal mortality rate in 23 countries in 2017. </w:t>
      </w:r>
    </w:p>
    <w:p w14:paraId="68B287EB" w14:textId="77777777" w:rsidR="00290180" w:rsidRDefault="00000000">
      <w:pPr>
        <w:numPr>
          <w:ilvl w:val="0"/>
          <w:numId w:val="7"/>
        </w:numPr>
        <w:spacing w:line="360" w:lineRule="auto"/>
      </w:pPr>
      <w:r>
        <w:t>Degree of freedom: d.f = n - 1 = 23 - 1 = 22</w:t>
      </w:r>
    </w:p>
    <w:p w14:paraId="24153EFB" w14:textId="77777777" w:rsidR="00290180" w:rsidRDefault="00000000">
      <w:pPr>
        <w:numPr>
          <w:ilvl w:val="0"/>
          <w:numId w:val="7"/>
        </w:numPr>
        <w:spacing w:line="360" w:lineRule="auto"/>
      </w:pPr>
      <w:r>
        <w:t xml:space="preserve">Level of significance: </w:t>
      </w:r>
      <m:oMath>
        <m:r>
          <w:rPr>
            <w:rFonts w:ascii="Cambria Math" w:hAnsi="Cambria Math"/>
          </w:rPr>
          <m:t xml:space="preserve">α = 0.05 ⇒ </m:t>
        </m:r>
        <m:sSub>
          <m:sSubPr>
            <m:ctrlPr>
              <w:rPr>
                <w:rFonts w:ascii="Cambria Math" w:hAnsi="Cambria Math"/>
              </w:rPr>
            </m:ctrlPr>
          </m:sSubPr>
          <m:e>
            <m:r>
              <w:rPr>
                <w:rFonts w:ascii="Cambria Math" w:hAnsi="Cambria Math"/>
              </w:rPr>
              <m:t>t</m:t>
            </m:r>
          </m:e>
          <m:sub>
            <m:r>
              <w:rPr>
                <w:rFonts w:ascii="Cambria Math" w:hAnsi="Cambria Math"/>
              </w:rPr>
              <m:t>n-1</m:t>
            </m:r>
          </m:sub>
        </m:sSub>
        <m:r>
          <w:rPr>
            <w:rFonts w:ascii="Cambria Math" w:hAnsi="Cambria Math"/>
          </w:rPr>
          <m:t>= 2.074</m:t>
        </m:r>
      </m:oMath>
    </w:p>
    <w:p w14:paraId="5E1DD948" w14:textId="77777777" w:rsidR="00290180" w:rsidRDefault="00000000">
      <w:pPr>
        <w:numPr>
          <w:ilvl w:val="0"/>
          <w:numId w:val="7"/>
        </w:numPr>
        <w:spacing w:line="360" w:lineRule="auto"/>
      </w:pPr>
      <w:r>
        <w:t xml:space="preserve">Confidence intervals : </w:t>
      </w:r>
    </w:p>
    <w:p w14:paraId="3A257E8A" w14:textId="5900460E" w:rsidR="00290180" w:rsidRDefault="00000000">
      <w:pPr>
        <w:spacing w:line="360" w:lineRule="auto"/>
        <w:ind w:left="1440"/>
      </w:pPr>
      <m:oMathPara>
        <m:oMath>
          <m:r>
            <w:rPr>
              <w:rFonts w:ascii="Cambria Math" w:hAnsi="Cambria Math"/>
            </w:rPr>
            <m:t xml:space="preserve">μ = </m:t>
          </m:r>
          <m:bar>
            <m:barPr>
              <m:pos m:val="top"/>
              <m:ctrlPr>
                <w:rPr>
                  <w:rFonts w:ascii="Cambria Math" w:hAnsi="Cambria Math"/>
                </w:rPr>
              </m:ctrlPr>
            </m:barPr>
            <m:e>
              <m:r>
                <w:rPr>
                  <w:rFonts w:ascii="Cambria Math" w:hAnsi="Cambria Math"/>
                </w:rPr>
                <m:t>X</m:t>
              </m:r>
            </m:e>
          </m:bar>
          <m: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r>
            <w:rPr>
              <w:rFonts w:ascii="Cambria Math" w:hAnsi="Cambria Math"/>
            </w:rPr>
            <m:t xml:space="preserve"> </m:t>
          </m:r>
        </m:oMath>
      </m:oMathPara>
    </w:p>
    <w:p w14:paraId="4B7456BD" w14:textId="77777777" w:rsidR="00290180" w:rsidRDefault="00000000">
      <w:pPr>
        <w:ind w:left="1440" w:firstLine="720"/>
      </w:pPr>
      <m:oMathPara>
        <m:oMath>
          <m:r>
            <w:rPr>
              <w:rFonts w:ascii="Cambria Math" w:hAnsi="Cambria Math"/>
            </w:rPr>
            <m:t xml:space="preserve">= 13.27 ± 2.074 × </m:t>
          </m:r>
          <m:f>
            <m:fPr>
              <m:ctrlPr>
                <w:rPr>
                  <w:rFonts w:ascii="Cambria Math" w:hAnsi="Cambria Math"/>
                </w:rPr>
              </m:ctrlPr>
            </m:fPr>
            <m:num>
              <m:r>
                <w:rPr>
                  <w:rFonts w:ascii="Cambria Math" w:hAnsi="Cambria Math"/>
                </w:rPr>
                <m:t>7.91</m:t>
              </m:r>
            </m:num>
            <m:den>
              <m:rad>
                <m:radPr>
                  <m:degHide m:val="1"/>
                  <m:ctrlPr>
                    <w:rPr>
                      <w:rFonts w:ascii="Cambria Math" w:hAnsi="Cambria Math"/>
                    </w:rPr>
                  </m:ctrlPr>
                </m:radPr>
                <m:deg/>
                <m:e>
                  <m:r>
                    <w:rPr>
                      <w:rFonts w:ascii="Cambria Math" w:hAnsi="Cambria Math"/>
                    </w:rPr>
                    <m:t>23</m:t>
                  </m:r>
                </m:e>
              </m:rad>
            </m:den>
          </m:f>
        </m:oMath>
      </m:oMathPara>
    </w:p>
    <w:p w14:paraId="49306BFF" w14:textId="77777777" w:rsidR="00290180" w:rsidRDefault="00000000">
      <w:pPr>
        <w:ind w:left="1440" w:firstLine="720"/>
      </w:pPr>
      <m:oMathPara>
        <m:oMath>
          <m:r>
            <w:rPr>
              <w:rFonts w:ascii="Cambria Math" w:hAnsi="Cambria Math"/>
            </w:rPr>
            <m:t xml:space="preserve">≃9.85 ≤μ ≤16.69 </m:t>
          </m:r>
        </m:oMath>
      </m:oMathPara>
    </w:p>
    <w:p w14:paraId="61ABFF95" w14:textId="77777777" w:rsidR="00290180" w:rsidRDefault="00000000">
      <w:pPr>
        <w:numPr>
          <w:ilvl w:val="0"/>
          <w:numId w:val="3"/>
        </w:numPr>
        <w:spacing w:line="360" w:lineRule="auto"/>
      </w:pPr>
      <w:r>
        <w:t>Conclusion</w:t>
      </w:r>
    </w:p>
    <w:p w14:paraId="1E78F131" w14:textId="77777777" w:rsidR="00290180" w:rsidRDefault="00000000">
      <w:pPr>
        <w:numPr>
          <w:ilvl w:val="0"/>
          <w:numId w:val="12"/>
        </w:numPr>
        <w:spacing w:line="360" w:lineRule="auto"/>
      </w:pPr>
      <w:r>
        <w:t xml:space="preserve">Based on the calculation above, we can conclude that 95% certain that the mean for neonatal mortality rate in 23 countries in 2017 will range from 9.85 to 16.69 deaths per 1000 live births. </w:t>
      </w:r>
    </w:p>
    <w:p w14:paraId="20C99428" w14:textId="77777777" w:rsidR="00290180" w:rsidRDefault="00000000">
      <w:pPr>
        <w:numPr>
          <w:ilvl w:val="0"/>
          <w:numId w:val="3"/>
        </w:numPr>
        <w:spacing w:line="360" w:lineRule="auto"/>
      </w:pPr>
      <w:r>
        <w:t>Discussion of assumption</w:t>
      </w:r>
    </w:p>
    <w:p w14:paraId="70459493" w14:textId="77777777" w:rsidR="00290180" w:rsidRDefault="00000000">
      <w:pPr>
        <w:numPr>
          <w:ilvl w:val="0"/>
          <w:numId w:val="24"/>
        </w:numPr>
        <w:spacing w:line="360" w:lineRule="auto"/>
      </w:pPr>
      <w:r>
        <w:lastRenderedPageBreak/>
        <w:t xml:space="preserve">Because the sample size of the dataset is 23, which is less than 30. For this reason, the Central Limit Theorem cannot apply in this scenario (Shuan Turney et al., 2022). However, we can assume that the population follows a normal distribution. </w:t>
      </w:r>
    </w:p>
    <w:p w14:paraId="3861C7A2" w14:textId="77777777" w:rsidR="00290180" w:rsidRDefault="00000000">
      <w:pPr>
        <w:numPr>
          <w:ilvl w:val="0"/>
          <w:numId w:val="3"/>
        </w:numPr>
        <w:pBdr>
          <w:top w:val="nil"/>
          <w:left w:val="nil"/>
          <w:bottom w:val="nil"/>
          <w:right w:val="nil"/>
          <w:between w:val="nil"/>
        </w:pBdr>
        <w:spacing w:line="360" w:lineRule="auto"/>
        <w:rPr>
          <w:color w:val="000000"/>
        </w:rPr>
      </w:pPr>
      <w:r>
        <w:rPr>
          <w:color w:val="000000"/>
        </w:rPr>
        <w:t>Hypothesis testing</w:t>
      </w:r>
    </w:p>
    <w:p w14:paraId="1A3471FD" w14:textId="77777777" w:rsidR="00290180" w:rsidRDefault="00000000">
      <w:pPr>
        <w:numPr>
          <w:ilvl w:val="0"/>
          <w:numId w:val="24"/>
        </w:numPr>
        <w:pBdr>
          <w:top w:val="nil"/>
          <w:left w:val="nil"/>
          <w:bottom w:val="nil"/>
          <w:right w:val="nil"/>
          <w:between w:val="nil"/>
        </w:pBdr>
        <w:spacing w:line="360" w:lineRule="auto"/>
        <w:rPr>
          <w:color w:val="000000"/>
        </w:rPr>
      </w:pPr>
      <w:r>
        <w:rPr>
          <w:color w:val="000000"/>
        </w:rPr>
        <w:t xml:space="preserve">The neonatal mortality rate of the world was estimated to be at 18.6 deaths per 1000 live births. </w:t>
      </w:r>
    </w:p>
    <w:p w14:paraId="6905AC1B" w14:textId="2D2197C1" w:rsidR="00290180" w:rsidRDefault="00000000">
      <w:pPr>
        <w:numPr>
          <w:ilvl w:val="0"/>
          <w:numId w:val="19"/>
        </w:numPr>
        <w:pBdr>
          <w:top w:val="nil"/>
          <w:left w:val="nil"/>
          <w:bottom w:val="nil"/>
          <w:right w:val="nil"/>
          <w:between w:val="nil"/>
        </w:pBdr>
        <w:spacing w:line="360" w:lineRule="auto"/>
        <w:rPr>
          <w:color w:val="000000"/>
        </w:rPr>
      </w:pPr>
      <w:r>
        <w:rPr>
          <w:color w:val="000000"/>
        </w:rPr>
        <w:t>Step 1: Central Limit Theorem (CLT)</w:t>
      </w:r>
    </w:p>
    <w:p w14:paraId="19A886AA" w14:textId="7F1E5C3C" w:rsidR="00290180" w:rsidRDefault="00000000">
      <w:pPr>
        <w:pBdr>
          <w:top w:val="nil"/>
          <w:left w:val="nil"/>
          <w:bottom w:val="nil"/>
          <w:right w:val="nil"/>
          <w:between w:val="nil"/>
        </w:pBdr>
        <w:spacing w:line="360" w:lineRule="auto"/>
        <w:ind w:left="1080"/>
        <w:rPr>
          <w:color w:val="000000"/>
        </w:rPr>
      </w:pPr>
      <w:r>
        <w:rPr>
          <w:color w:val="000000"/>
        </w:rPr>
        <w:t>The sample size of the dataset is 23, which is less than 30. For this reason, CLT cannot be applied</w:t>
      </w:r>
      <w:r w:rsidR="008544C8">
        <w:rPr>
          <w:color w:val="000000"/>
          <w:lang w:val="en-US"/>
        </w:rPr>
        <w:t>.</w:t>
      </w:r>
      <w:r>
        <w:rPr>
          <w:color w:val="000000"/>
        </w:rPr>
        <w:t xml:space="preserve"> </w:t>
      </w:r>
    </w:p>
    <w:p w14:paraId="7142EF16" w14:textId="77777777" w:rsidR="00290180" w:rsidRDefault="00000000">
      <w:pPr>
        <w:numPr>
          <w:ilvl w:val="0"/>
          <w:numId w:val="19"/>
        </w:numPr>
        <w:pBdr>
          <w:top w:val="nil"/>
          <w:left w:val="nil"/>
          <w:bottom w:val="nil"/>
          <w:right w:val="nil"/>
          <w:between w:val="nil"/>
        </w:pBdr>
        <w:spacing w:line="360" w:lineRule="auto"/>
        <w:rPr>
          <w:color w:val="000000"/>
        </w:rPr>
      </w:pPr>
      <w:r>
        <w:rPr>
          <w:color w:val="000000"/>
        </w:rPr>
        <w:t>Step 2: Determine null and alternative hypothesis</w:t>
      </w:r>
    </w:p>
    <w:p w14:paraId="2FDB1C33" w14:textId="77777777" w:rsidR="00290180" w:rsidRDefault="00000000">
      <w:pPr>
        <w:pBdr>
          <w:top w:val="nil"/>
          <w:left w:val="nil"/>
          <w:bottom w:val="nil"/>
          <w:right w:val="nil"/>
          <w:between w:val="nil"/>
        </w:pBdr>
        <w:spacing w:line="360" w:lineRule="auto"/>
        <w:ind w:left="1080"/>
        <w:rPr>
          <w:color w:val="000000"/>
        </w:rPr>
      </w:pPr>
      <w:r>
        <w:rPr>
          <w:color w:val="000000"/>
        </w:rPr>
        <w:t xml:space="preserve">Null hypothesis: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H</m:t>
            </m:r>
          </m:e>
          <m:sub>
            <m:r>
              <w:rPr>
                <w:rFonts w:ascii="Cambria Math" w:eastAsia="Cambria Math" w:hAnsi="Cambria Math" w:cs="Cambria Math"/>
                <w:color w:val="000000"/>
              </w:rPr>
              <m:t>0</m:t>
            </m:r>
          </m:sub>
        </m:sSub>
        <m:r>
          <w:rPr>
            <w:rFonts w:ascii="Cambria Math" w:eastAsia="Cambria Math" w:hAnsi="Cambria Math" w:cs="Cambria Math"/>
            <w:color w:val="000000"/>
          </w:rPr>
          <m:t>=18.6</m:t>
        </m:r>
      </m:oMath>
    </w:p>
    <w:p w14:paraId="03D59816" w14:textId="571E7B3E" w:rsidR="00290180" w:rsidRDefault="00000000">
      <w:pPr>
        <w:pBdr>
          <w:top w:val="nil"/>
          <w:left w:val="nil"/>
          <w:bottom w:val="nil"/>
          <w:right w:val="nil"/>
          <w:between w:val="nil"/>
        </w:pBdr>
        <w:spacing w:line="360" w:lineRule="auto"/>
        <w:ind w:left="1080"/>
        <w:rPr>
          <w:color w:val="000000"/>
        </w:rPr>
      </w:pPr>
      <w:r>
        <w:rPr>
          <w:color w:val="000000"/>
        </w:rPr>
        <w:t>Alternative hypothesis</w:t>
      </w:r>
      <m:oMath>
        <m:r>
          <w:rPr>
            <w:rFonts w:ascii="Cambria Math" w:hAnsi="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H</m:t>
            </m:r>
          </m:e>
          <m:sub>
            <m:r>
              <w:rPr>
                <w:rFonts w:ascii="Cambria Math" w:eastAsia="Cambria Math" w:hAnsi="Cambria Math" w:cs="Cambria Math"/>
                <w:color w:val="000000"/>
              </w:rPr>
              <m:t xml:space="preserve">a </m:t>
            </m:r>
          </m:sub>
        </m:sSub>
        <m:r>
          <w:rPr>
            <w:rFonts w:ascii="Cambria Math" w:eastAsia="Cambria Math" w:hAnsi="Cambria Math" w:cs="Cambria Math"/>
            <w:color w:val="000000"/>
          </w:rPr>
          <m:t>≠18.6</m:t>
        </m:r>
      </m:oMath>
    </w:p>
    <w:p w14:paraId="34384960" w14:textId="77777777" w:rsidR="00290180" w:rsidRDefault="00000000">
      <w:pPr>
        <w:numPr>
          <w:ilvl w:val="0"/>
          <w:numId w:val="19"/>
        </w:numPr>
        <w:pBdr>
          <w:top w:val="nil"/>
          <w:left w:val="nil"/>
          <w:bottom w:val="nil"/>
          <w:right w:val="nil"/>
          <w:between w:val="nil"/>
        </w:pBdr>
        <w:spacing w:line="360" w:lineRule="auto"/>
        <w:rPr>
          <w:color w:val="000000"/>
        </w:rPr>
      </w:pPr>
      <w:r>
        <w:rPr>
          <w:color w:val="000000"/>
        </w:rPr>
        <w:t>Step 3: Type of testing</w:t>
      </w:r>
    </w:p>
    <w:p w14:paraId="6E63C95B" w14:textId="77777777" w:rsidR="00290180" w:rsidRDefault="00000000">
      <w:pPr>
        <w:pBdr>
          <w:top w:val="nil"/>
          <w:left w:val="nil"/>
          <w:bottom w:val="nil"/>
          <w:right w:val="nil"/>
          <w:between w:val="nil"/>
        </w:pBdr>
        <w:spacing w:line="360" w:lineRule="auto"/>
        <w:ind w:left="1080"/>
        <w:rPr>
          <w:color w:val="000000"/>
        </w:rPr>
      </w:pPr>
      <w:r>
        <w:rPr>
          <w:color w:val="000000"/>
        </w:rPr>
        <w:t xml:space="preserve">Confidence level: </w:t>
      </w:r>
      <m:oMath>
        <m:r>
          <w:rPr>
            <w:rFonts w:ascii="Cambria Math" w:eastAsia="Cambria Math" w:hAnsi="Cambria Math" w:cs="Cambria Math"/>
            <w:color w:val="000000"/>
          </w:rPr>
          <m:t>1- α=0.95</m:t>
        </m:r>
      </m:oMath>
    </w:p>
    <w:p w14:paraId="32C2F168" w14:textId="77777777" w:rsidR="00290180" w:rsidRDefault="00000000">
      <w:pPr>
        <w:pBdr>
          <w:top w:val="nil"/>
          <w:left w:val="nil"/>
          <w:bottom w:val="nil"/>
          <w:right w:val="nil"/>
          <w:between w:val="nil"/>
        </w:pBdr>
        <w:spacing w:line="360" w:lineRule="auto"/>
        <w:ind w:left="1080"/>
        <w:rPr>
          <w:color w:val="000000"/>
        </w:rPr>
      </w:pPr>
      <w:r>
        <w:rPr>
          <w:color w:val="000000"/>
        </w:rPr>
        <w:t>Sample size: n = 23</w:t>
      </w:r>
    </w:p>
    <w:p w14:paraId="7BB3F0DA" w14:textId="77777777" w:rsidR="00290180" w:rsidRDefault="00000000">
      <w:pPr>
        <w:spacing w:line="360" w:lineRule="auto"/>
        <w:ind w:left="720"/>
      </w:pPr>
      <w:r>
        <w:t xml:space="preserve">      Since there is an unequal sign (</w:t>
      </w:r>
      <m:oMath>
        <m:r>
          <w:rPr>
            <w:rFonts w:ascii="Cambria Math" w:hAnsi="Cambria Math"/>
          </w:rPr>
          <m:t>≠</m:t>
        </m:r>
      </m:oMath>
      <w:r>
        <w:t xml:space="preserve">) of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a</m:t>
            </m:r>
          </m:sub>
        </m:sSub>
      </m:oMath>
      <w:r>
        <w:t>, we will choose a two-tailed test</w:t>
      </w:r>
    </w:p>
    <w:p w14:paraId="412BE5BD" w14:textId="77777777" w:rsidR="00290180" w:rsidRDefault="00000000">
      <w:pPr>
        <w:numPr>
          <w:ilvl w:val="0"/>
          <w:numId w:val="19"/>
        </w:numPr>
        <w:pBdr>
          <w:top w:val="nil"/>
          <w:left w:val="nil"/>
          <w:bottom w:val="nil"/>
          <w:right w:val="nil"/>
          <w:between w:val="nil"/>
        </w:pBdr>
        <w:spacing w:line="360" w:lineRule="auto"/>
        <w:rPr>
          <w:color w:val="000000"/>
        </w:rPr>
      </w:pPr>
      <w:r>
        <w:rPr>
          <w:color w:val="000000"/>
        </w:rPr>
        <w:t>Step 4: Determine whether use Z-table or T-table</w:t>
      </w:r>
    </w:p>
    <w:p w14:paraId="4C1957F4" w14:textId="77777777" w:rsidR="00290180" w:rsidRDefault="00000000">
      <w:pPr>
        <w:pBdr>
          <w:top w:val="nil"/>
          <w:left w:val="nil"/>
          <w:bottom w:val="nil"/>
          <w:right w:val="nil"/>
          <w:between w:val="nil"/>
        </w:pBdr>
        <w:spacing w:line="360" w:lineRule="auto"/>
        <w:ind w:left="1080"/>
        <w:rPr>
          <w:color w:val="000000"/>
        </w:rPr>
      </w:pPr>
      <w:r>
        <w:rPr>
          <w:color w:val="000000"/>
        </w:rPr>
        <w:t>Because the population standard deviation is unknown and the population is normally distributed, the t-table is chosen for this test.</w:t>
      </w:r>
    </w:p>
    <w:p w14:paraId="035012BF" w14:textId="77777777" w:rsidR="00290180" w:rsidRDefault="00000000">
      <w:pPr>
        <w:numPr>
          <w:ilvl w:val="0"/>
          <w:numId w:val="19"/>
        </w:numPr>
        <w:pBdr>
          <w:top w:val="nil"/>
          <w:left w:val="nil"/>
          <w:bottom w:val="nil"/>
          <w:right w:val="nil"/>
          <w:between w:val="nil"/>
        </w:pBdr>
        <w:spacing w:line="360" w:lineRule="auto"/>
        <w:rPr>
          <w:color w:val="000000"/>
        </w:rPr>
      </w:pPr>
      <w:r>
        <w:rPr>
          <w:color w:val="000000"/>
        </w:rPr>
        <w:t>Step 5: Determine critical value (CV)</w:t>
      </w:r>
    </w:p>
    <w:p w14:paraId="31EBDA77" w14:textId="77777777" w:rsidR="00290180" w:rsidRDefault="00000000">
      <w:pPr>
        <w:pBdr>
          <w:top w:val="nil"/>
          <w:left w:val="nil"/>
          <w:bottom w:val="nil"/>
          <w:right w:val="nil"/>
          <w:between w:val="nil"/>
        </w:pBdr>
        <w:spacing w:line="360" w:lineRule="auto"/>
        <w:ind w:left="1080"/>
        <w:rPr>
          <w:color w:val="000000"/>
        </w:rPr>
      </w:pPr>
      <w:r>
        <w:rPr>
          <w:color w:val="000000"/>
        </w:rPr>
        <w:t>Degree of freedom: d.f = n – 1 = 22</w:t>
      </w:r>
    </w:p>
    <w:p w14:paraId="4028E019" w14:textId="77777777" w:rsidR="00290180" w:rsidRDefault="00000000">
      <w:pPr>
        <w:pBdr>
          <w:top w:val="nil"/>
          <w:left w:val="nil"/>
          <w:bottom w:val="nil"/>
          <w:right w:val="nil"/>
          <w:between w:val="nil"/>
        </w:pBdr>
        <w:spacing w:line="360" w:lineRule="auto"/>
        <w:ind w:left="1080"/>
        <w:rPr>
          <w:color w:val="000000"/>
        </w:rPr>
      </w:pPr>
      <w:r>
        <w:rPr>
          <w:color w:val="000000"/>
        </w:rPr>
        <w:t xml:space="preserve">Level of significance: </w:t>
      </w:r>
      <m:oMath>
        <m:r>
          <w:rPr>
            <w:rFonts w:ascii="Cambria Math" w:eastAsia="Cambria Math" w:hAnsi="Cambria Math" w:cs="Cambria Math"/>
            <w:color w:val="000000"/>
          </w:rPr>
          <m:t>α=0.05</m:t>
        </m:r>
      </m:oMath>
    </w:p>
    <w:p w14:paraId="7B29F9E4" w14:textId="77777777" w:rsidR="00290180" w:rsidRDefault="00000000">
      <w:pPr>
        <w:spacing w:line="360" w:lineRule="auto"/>
        <w:ind w:left="360" w:firstLine="720"/>
      </w:pPr>
      <w:r>
        <w:t>Critical value:</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cv</m:t>
            </m:r>
          </m:sub>
        </m:sSub>
        <m:r>
          <w:rPr>
            <w:rFonts w:ascii="Cambria Math" w:eastAsia="Cambria Math" w:hAnsi="Cambria Math" w:cs="Cambria Math"/>
          </w:rPr>
          <m:t>= ±2.074</m:t>
        </m:r>
      </m:oMath>
    </w:p>
    <w:p w14:paraId="1464A5BA" w14:textId="77777777" w:rsidR="00290180" w:rsidRDefault="00000000">
      <w:pPr>
        <w:numPr>
          <w:ilvl w:val="0"/>
          <w:numId w:val="19"/>
        </w:numPr>
        <w:pBdr>
          <w:top w:val="nil"/>
          <w:left w:val="nil"/>
          <w:bottom w:val="nil"/>
          <w:right w:val="nil"/>
          <w:between w:val="nil"/>
        </w:pBdr>
        <w:spacing w:line="360" w:lineRule="auto"/>
        <w:rPr>
          <w:color w:val="000000"/>
        </w:rPr>
      </w:pPr>
      <w:r>
        <w:rPr>
          <w:color w:val="000000"/>
        </w:rPr>
        <w:t>Step 6: Calculate test statistic t:</w:t>
      </w:r>
    </w:p>
    <w:p w14:paraId="74369AD2" w14:textId="77777777" w:rsidR="00290180"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 xml:space="preserve">t= </m:t>
          </m:r>
          <m:f>
            <m:fPr>
              <m:ctrlPr>
                <w:rPr>
                  <w:rFonts w:ascii="Cambria Math" w:eastAsia="Cambria Math" w:hAnsi="Cambria Math" w:cs="Cambria Math"/>
                  <w:color w:val="000000"/>
                </w:rPr>
              </m:ctrlPr>
            </m:fPr>
            <m:num>
              <m:r>
                <w:rPr>
                  <w:rFonts w:ascii="Cambria Math" w:eastAsia="Cambria Math" w:hAnsi="Cambria Math" w:cs="Cambria Math"/>
                  <w:color w:val="000000"/>
                </w:rPr>
                <m:t>X- μ</m:t>
              </m:r>
            </m:num>
            <m:den>
              <m:f>
                <m:fPr>
                  <m:ctrlPr>
                    <w:rPr>
                      <w:rFonts w:ascii="Cambria Math" w:eastAsia="Cambria Math" w:hAnsi="Cambria Math" w:cs="Cambria Math"/>
                      <w:color w:val="000000"/>
                    </w:rPr>
                  </m:ctrlPr>
                </m:fPr>
                <m:num>
                  <m:r>
                    <w:rPr>
                      <w:rFonts w:ascii="Cambria Math" w:eastAsia="Cambria Math" w:hAnsi="Cambria Math" w:cs="Cambria Math"/>
                      <w:color w:val="000000"/>
                    </w:rPr>
                    <m:t>S</m:t>
                  </m:r>
                </m:num>
                <m:den>
                  <m:rad>
                    <m:radPr>
                      <m:degHide m:val="1"/>
                      <m:ctrlPr>
                        <w:rPr>
                          <w:rFonts w:ascii="Cambria Math" w:eastAsia="Cambria Math" w:hAnsi="Cambria Math" w:cs="Cambria Math"/>
                          <w:color w:val="000000"/>
                        </w:rPr>
                      </m:ctrlPr>
                    </m:radPr>
                    <m:deg/>
                    <m:e>
                      <m:r>
                        <w:rPr>
                          <w:rFonts w:ascii="Cambria Math" w:eastAsia="Cambria Math" w:hAnsi="Cambria Math" w:cs="Cambria Math"/>
                          <w:color w:val="000000"/>
                        </w:rPr>
                        <m:t>n</m:t>
                      </m:r>
                    </m:e>
                  </m:rad>
                </m:den>
              </m:f>
            </m:den>
          </m:f>
          <m:r>
            <w:rPr>
              <w:rFonts w:ascii="Cambria Math" w:eastAsia="Cambria Math" w:hAnsi="Cambria Math" w:cs="Cambria Math"/>
              <w:color w:val="000000"/>
            </w:rPr>
            <m:t xml:space="preserve">= </m:t>
          </m:r>
          <m:f>
            <m:fPr>
              <m:ctrlPr>
                <w:rPr>
                  <w:rFonts w:ascii="Cambria Math" w:eastAsia="Cambria Math" w:hAnsi="Cambria Math" w:cs="Cambria Math"/>
                  <w:color w:val="000000"/>
                </w:rPr>
              </m:ctrlPr>
            </m:fPr>
            <m:num>
              <m:r>
                <w:rPr>
                  <w:rFonts w:ascii="Cambria Math" w:eastAsia="Cambria Math" w:hAnsi="Cambria Math" w:cs="Cambria Math"/>
                  <w:color w:val="000000"/>
                </w:rPr>
                <m:t>13.27-18.6</m:t>
              </m:r>
            </m:num>
            <m:den>
              <m:f>
                <m:fPr>
                  <m:ctrlPr>
                    <w:rPr>
                      <w:rFonts w:ascii="Cambria Math" w:eastAsia="Cambria Math" w:hAnsi="Cambria Math" w:cs="Cambria Math"/>
                      <w:color w:val="000000"/>
                    </w:rPr>
                  </m:ctrlPr>
                </m:fPr>
                <m:num>
                  <m:r>
                    <w:rPr>
                      <w:rFonts w:ascii="Cambria Math" w:eastAsia="Cambria Math" w:hAnsi="Cambria Math" w:cs="Cambria Math"/>
                      <w:color w:val="000000"/>
                    </w:rPr>
                    <m:t>7.91</m:t>
                  </m:r>
                </m:num>
                <m:den>
                  <m:rad>
                    <m:radPr>
                      <m:degHide m:val="1"/>
                      <m:ctrlPr>
                        <w:rPr>
                          <w:rFonts w:ascii="Cambria Math" w:eastAsia="Cambria Math" w:hAnsi="Cambria Math" w:cs="Cambria Math"/>
                          <w:color w:val="000000"/>
                        </w:rPr>
                      </m:ctrlPr>
                    </m:radPr>
                    <m:deg/>
                    <m:e>
                      <m:r>
                        <w:rPr>
                          <w:rFonts w:ascii="Cambria Math" w:eastAsia="Cambria Math" w:hAnsi="Cambria Math" w:cs="Cambria Math"/>
                          <w:color w:val="000000"/>
                        </w:rPr>
                        <m:t>23</m:t>
                      </m:r>
                    </m:e>
                  </m:rad>
                </m:den>
              </m:f>
            </m:den>
          </m:f>
          <m:r>
            <w:rPr>
              <w:rFonts w:ascii="Cambria Math" w:eastAsia="Cambria Math" w:hAnsi="Cambria Math" w:cs="Cambria Math"/>
              <w:color w:val="000000"/>
            </w:rPr>
            <m:t>= -3.23</m:t>
          </m:r>
        </m:oMath>
      </m:oMathPara>
    </w:p>
    <w:p w14:paraId="6DDE6AB7" w14:textId="77777777" w:rsidR="00290180" w:rsidRDefault="00000000">
      <w:pPr>
        <w:numPr>
          <w:ilvl w:val="0"/>
          <w:numId w:val="19"/>
        </w:numPr>
        <w:pBdr>
          <w:top w:val="nil"/>
          <w:left w:val="nil"/>
          <w:bottom w:val="nil"/>
          <w:right w:val="nil"/>
          <w:between w:val="nil"/>
        </w:pBdr>
        <w:spacing w:line="360" w:lineRule="auto"/>
        <w:rPr>
          <w:color w:val="000000"/>
        </w:rPr>
      </w:pPr>
      <w:r>
        <w:rPr>
          <w:color w:val="000000"/>
        </w:rPr>
        <w:t>Step 7: Statistical decision</w:t>
      </w:r>
    </w:p>
    <w:p w14:paraId="08B0D536" w14:textId="77777777" w:rsidR="00290180" w:rsidRDefault="00000000">
      <w:pPr>
        <w:pBdr>
          <w:top w:val="nil"/>
          <w:left w:val="nil"/>
          <w:bottom w:val="nil"/>
          <w:right w:val="nil"/>
          <w:between w:val="nil"/>
        </w:pBdr>
        <w:spacing w:line="360" w:lineRule="auto"/>
        <w:ind w:left="1080"/>
        <w:rPr>
          <w:color w:val="000000"/>
        </w:rPr>
      </w:pPr>
      <w:r>
        <w:rPr>
          <w:color w:val="000000"/>
        </w:rPr>
        <w:t>Since the test result fall in the rejection region (</w:t>
      </w:r>
      <m:oMath>
        <m:r>
          <w:rPr>
            <w:rFonts w:ascii="Cambria Math" w:eastAsia="Cambria Math" w:hAnsi="Cambria Math" w:cs="Cambria Math"/>
            <w:color w:val="000000"/>
          </w:rPr>
          <m:t>-3.23 &lt; -2.074 )</m:t>
        </m:r>
      </m:oMath>
      <w:r>
        <w:rPr>
          <w:color w:val="000000"/>
        </w:rPr>
        <w:t xml:space="preserve">, we can reject the null hypothesis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H</m:t>
            </m:r>
          </m:e>
          <m:sub>
            <m:r>
              <w:rPr>
                <w:rFonts w:ascii="Cambria Math" w:eastAsia="Cambria Math" w:hAnsi="Cambria Math" w:cs="Cambria Math"/>
                <w:color w:val="000000"/>
              </w:rPr>
              <m:t>0</m:t>
            </m:r>
          </m:sub>
        </m:sSub>
      </m:oMath>
      <w:r>
        <w:rPr>
          <w:color w:val="000000"/>
        </w:rPr>
        <w:t>.</w:t>
      </w:r>
    </w:p>
    <w:p w14:paraId="02F02D4C" w14:textId="77777777" w:rsidR="00290180" w:rsidRDefault="00000000">
      <w:pPr>
        <w:numPr>
          <w:ilvl w:val="0"/>
          <w:numId w:val="19"/>
        </w:numPr>
        <w:pBdr>
          <w:top w:val="nil"/>
          <w:left w:val="nil"/>
          <w:bottom w:val="nil"/>
          <w:right w:val="nil"/>
          <w:between w:val="nil"/>
        </w:pBdr>
        <w:spacing w:line="360" w:lineRule="auto"/>
        <w:rPr>
          <w:color w:val="000000"/>
        </w:rPr>
      </w:pPr>
      <w:r>
        <w:rPr>
          <w:color w:val="000000"/>
        </w:rPr>
        <w:t>Step 8: Make a managerial decision</w:t>
      </w:r>
    </w:p>
    <w:p w14:paraId="53066452" w14:textId="77777777" w:rsidR="00290180" w:rsidRDefault="00000000">
      <w:pPr>
        <w:pBdr>
          <w:top w:val="nil"/>
          <w:left w:val="nil"/>
          <w:bottom w:val="nil"/>
          <w:right w:val="nil"/>
          <w:between w:val="nil"/>
        </w:pBdr>
        <w:spacing w:line="360" w:lineRule="auto"/>
        <w:ind w:left="1080"/>
        <w:rPr>
          <w:color w:val="000000"/>
        </w:rPr>
      </w:pPr>
      <w:r>
        <w:rPr>
          <w:color w:val="000000"/>
        </w:rPr>
        <w:t xml:space="preserve">As we can </w:t>
      </w:r>
      <w:r>
        <w:t>reject the null</w:t>
      </w:r>
      <w:r>
        <w:rPr>
          <w:color w:val="000000"/>
        </w:rPr>
        <w:t xml:space="preserve"> hypothesis, we are certain that there is evidence that </w:t>
      </w:r>
      <w:r>
        <w:t>proves</w:t>
      </w:r>
      <w:r>
        <w:rPr>
          <w:color w:val="000000"/>
        </w:rPr>
        <w:t xml:space="preserve"> the world average neonatal mortality rate </w:t>
      </w:r>
      <w:r>
        <w:t>will change</w:t>
      </w:r>
      <w:r>
        <w:rPr>
          <w:color w:val="000000"/>
        </w:rPr>
        <w:t xml:space="preserve"> other than 18.6 deaths per live births. </w:t>
      </w:r>
    </w:p>
    <w:p w14:paraId="374381F9" w14:textId="77777777" w:rsidR="00290180" w:rsidRDefault="00000000">
      <w:pPr>
        <w:numPr>
          <w:ilvl w:val="0"/>
          <w:numId w:val="19"/>
        </w:numPr>
        <w:pBdr>
          <w:top w:val="nil"/>
          <w:left w:val="nil"/>
          <w:bottom w:val="nil"/>
          <w:right w:val="nil"/>
          <w:between w:val="nil"/>
        </w:pBdr>
        <w:spacing w:line="360" w:lineRule="auto"/>
        <w:rPr>
          <w:color w:val="000000"/>
        </w:rPr>
      </w:pPr>
      <w:r>
        <w:rPr>
          <w:color w:val="000000"/>
        </w:rPr>
        <w:lastRenderedPageBreak/>
        <w:t>Step 9: Determine type of errors</w:t>
      </w:r>
    </w:p>
    <w:p w14:paraId="33DDF251" w14:textId="1C91BB1D" w:rsidR="00290180" w:rsidRDefault="00000000">
      <w:pPr>
        <w:spacing w:line="360" w:lineRule="auto"/>
        <w:ind w:left="1080"/>
      </w:pPr>
      <w:r>
        <w:t>Due to the fact that we have committed Type I errors by rejecting H</w:t>
      </w:r>
      <w:r w:rsidR="008B4949">
        <w:rPr>
          <w:lang w:val="en-US"/>
        </w:rPr>
        <w:t>o</w:t>
      </w:r>
      <w:r>
        <w:t>, we can report that the global mean neonatal mortality rate in 2017 was different than in 2016. Type I errors occur when we sense a difference when there’s not statistically difference in truth (Berkeley n.d). To reduce Type I errors, we can obtain a larger sample size and increase our level of confidence (NEDARC n.d). Another technique to prevent Type I mistake is to reduce the significance level, which means significance testing is abandoned (J.Rothman et al).</w:t>
      </w:r>
    </w:p>
    <w:p w14:paraId="64A5E47E" w14:textId="77777777" w:rsidR="00290180" w:rsidRPr="00B043CA" w:rsidRDefault="00000000">
      <w:pPr>
        <w:numPr>
          <w:ilvl w:val="0"/>
          <w:numId w:val="3"/>
        </w:numPr>
        <w:pBdr>
          <w:top w:val="nil"/>
          <w:left w:val="nil"/>
          <w:bottom w:val="nil"/>
          <w:right w:val="nil"/>
          <w:between w:val="nil"/>
        </w:pBdr>
        <w:spacing w:line="360" w:lineRule="auto"/>
        <w:rPr>
          <w:rFonts w:eastAsia="Arial"/>
          <w:color w:val="000000"/>
        </w:rPr>
      </w:pPr>
      <w:r w:rsidRPr="00B043CA">
        <w:rPr>
          <w:color w:val="000000"/>
        </w:rPr>
        <w:t>Halved the sample size</w:t>
      </w:r>
    </w:p>
    <w:p w14:paraId="4B3B9229" w14:textId="1D9E783F" w:rsidR="00290180" w:rsidRDefault="00000000">
      <w:pPr>
        <w:numPr>
          <w:ilvl w:val="0"/>
          <w:numId w:val="24"/>
        </w:numPr>
        <w:pBdr>
          <w:top w:val="nil"/>
          <w:left w:val="nil"/>
          <w:bottom w:val="nil"/>
          <w:right w:val="nil"/>
          <w:between w:val="nil"/>
        </w:pBdr>
        <w:spacing w:line="360" w:lineRule="auto"/>
      </w:pPr>
      <w:r w:rsidRPr="00B043CA">
        <w:rPr>
          <w:rFonts w:eastAsia="Arial"/>
          <w:color w:val="000000"/>
        </w:rPr>
        <w:t>Since the sample size is expected to be cut in half, the confidence level and margin of error will decrease (Chris Diezel et al, 2018). As the sample size decreases to half, it is possible that the t-value will increase (Jim Frost et al). Consequently, the null hypothesis will fall into the rejection zone, indicating that there is likely evidence to reject the null</w:t>
      </w:r>
      <w:r w:rsidR="007A7317">
        <w:rPr>
          <w:rFonts w:eastAsia="Arial"/>
          <w:color w:val="000000"/>
          <w:lang w:val="en-US"/>
        </w:rPr>
        <w:t xml:space="preserve"> hypothesis</w:t>
      </w:r>
      <w:r w:rsidRPr="00B043CA">
        <w:rPr>
          <w:rFonts w:eastAsia="Arial"/>
          <w:color w:val="000000"/>
        </w:rPr>
        <w:t>. Due to the halves of the sample size, the statistical decision is unaffected, the t-value increases, and the outcome will be less precise.</w:t>
      </w:r>
      <w:r>
        <w:rPr>
          <w:rFonts w:ascii="Arial" w:eastAsia="Arial" w:hAnsi="Arial" w:cs="Arial"/>
          <w:color w:val="000000"/>
          <w:sz w:val="22"/>
          <w:szCs w:val="22"/>
        </w:rPr>
        <w:tab/>
      </w:r>
    </w:p>
    <w:p w14:paraId="4763074F" w14:textId="77777777" w:rsidR="00290180" w:rsidRPr="00B043CA" w:rsidRDefault="00000000">
      <w:pPr>
        <w:numPr>
          <w:ilvl w:val="0"/>
          <w:numId w:val="14"/>
        </w:numPr>
        <w:pBdr>
          <w:top w:val="nil"/>
          <w:left w:val="nil"/>
          <w:bottom w:val="nil"/>
          <w:right w:val="nil"/>
          <w:between w:val="nil"/>
        </w:pBdr>
        <w:spacing w:line="360" w:lineRule="auto"/>
        <w:rPr>
          <w:rFonts w:eastAsia="Arial"/>
          <w:color w:val="000000"/>
          <w:sz w:val="28"/>
          <w:szCs w:val="28"/>
        </w:rPr>
      </w:pPr>
      <w:r w:rsidRPr="00B043CA">
        <w:rPr>
          <w:rFonts w:eastAsia="Arial"/>
          <w:color w:val="000000"/>
          <w:sz w:val="28"/>
          <w:szCs w:val="28"/>
        </w:rPr>
        <w:t>Conclusion</w:t>
      </w:r>
    </w:p>
    <w:p w14:paraId="3D1C486D" w14:textId="600CE4AF" w:rsidR="00290180" w:rsidRDefault="00000000">
      <w:pPr>
        <w:numPr>
          <w:ilvl w:val="0"/>
          <w:numId w:val="24"/>
        </w:numPr>
        <w:pBdr>
          <w:top w:val="nil"/>
          <w:left w:val="nil"/>
          <w:bottom w:val="nil"/>
          <w:right w:val="nil"/>
          <w:between w:val="nil"/>
        </w:pBdr>
        <w:spacing w:line="360" w:lineRule="auto"/>
        <w:rPr>
          <w:color w:val="000000"/>
        </w:rPr>
      </w:pPr>
      <w:r>
        <w:rPr>
          <w:color w:val="000000"/>
        </w:rPr>
        <w:t xml:space="preserve">Neonatal mortality rate not only </w:t>
      </w:r>
      <w:r>
        <w:t>reflects</w:t>
      </w:r>
      <w:r>
        <w:rPr>
          <w:color w:val="000000"/>
        </w:rPr>
        <w:t xml:space="preserve"> overall newborn health, but also reflect the </w:t>
      </w:r>
      <w:r w:rsidR="008B4949">
        <w:rPr>
          <w:color w:val="000000"/>
          <w:lang w:val="en-US"/>
        </w:rPr>
        <w:t xml:space="preserve">health of a community, socioeconomic status </w:t>
      </w:r>
      <w:r>
        <w:rPr>
          <w:color w:val="000000"/>
        </w:rPr>
        <w:t xml:space="preserve">and national healthcare system. The calculation </w:t>
      </w:r>
      <w:r>
        <w:t xml:space="preserve">of the dataset which includes 23 countries will give us an overview of neonatal mortality rate in 3 different countries. </w:t>
      </w:r>
    </w:p>
    <w:p w14:paraId="01135891" w14:textId="77777777" w:rsidR="00290180" w:rsidRDefault="00290180"/>
    <w:p w14:paraId="5E39536B" w14:textId="77777777" w:rsidR="00290180" w:rsidRPr="00B043CA" w:rsidRDefault="00000000">
      <w:pPr>
        <w:numPr>
          <w:ilvl w:val="0"/>
          <w:numId w:val="24"/>
        </w:numPr>
        <w:pBdr>
          <w:top w:val="nil"/>
          <w:left w:val="nil"/>
          <w:bottom w:val="nil"/>
          <w:right w:val="nil"/>
          <w:between w:val="nil"/>
        </w:pBdr>
        <w:spacing w:line="360" w:lineRule="auto"/>
        <w:rPr>
          <w:rFonts w:eastAsia="Arial"/>
          <w:color w:val="000000"/>
        </w:rPr>
      </w:pPr>
      <w:r w:rsidRPr="00B043CA">
        <w:rPr>
          <w:rFonts w:eastAsia="Arial"/>
          <w:color w:val="000000"/>
        </w:rPr>
        <w:t>Initially, the probability testing for three groups of countries' GNI yields the anticipated outcome. In high GNI countries, the neonatal mortality rate is independent of Gross National Income, however there is a correlation between neonatal mortality rate and GNI per capita in low- and middle-income countries. The test also demonstrates that high-income nations have no chance of experiencing a high infant mortality rate, with a probability of zero. In the meanwhile, the majority of low-income nations are likely to have a high neonatal mortality rate, with probabilities of 0.56 and 0.307, respectively. This is best described by each group's respective national healthcare system</w:t>
      </w:r>
      <w:r w:rsidRPr="00B043CA">
        <w:rPr>
          <w:rFonts w:eastAsia="Arial"/>
        </w:rPr>
        <w:t xml:space="preserve"> and health spending budget. </w:t>
      </w:r>
    </w:p>
    <w:p w14:paraId="5842182C" w14:textId="77777777" w:rsidR="00290180" w:rsidRDefault="00290180">
      <w:pPr>
        <w:pBdr>
          <w:top w:val="nil"/>
          <w:left w:val="nil"/>
          <w:bottom w:val="nil"/>
          <w:right w:val="nil"/>
          <w:between w:val="nil"/>
        </w:pBdr>
        <w:spacing w:line="360" w:lineRule="auto"/>
        <w:ind w:left="720"/>
        <w:rPr>
          <w:rFonts w:ascii="Arial" w:eastAsia="Arial" w:hAnsi="Arial" w:cs="Arial"/>
          <w:sz w:val="22"/>
          <w:szCs w:val="22"/>
        </w:rPr>
      </w:pPr>
    </w:p>
    <w:p w14:paraId="7AA62F4A" w14:textId="77777777" w:rsidR="00290180" w:rsidRPr="00B85E4E" w:rsidRDefault="00000000">
      <w:pPr>
        <w:numPr>
          <w:ilvl w:val="0"/>
          <w:numId w:val="17"/>
        </w:numPr>
        <w:pBdr>
          <w:top w:val="nil"/>
          <w:left w:val="nil"/>
          <w:bottom w:val="nil"/>
          <w:right w:val="nil"/>
          <w:between w:val="nil"/>
        </w:pBdr>
        <w:spacing w:line="360" w:lineRule="auto"/>
        <w:rPr>
          <w:rFonts w:eastAsia="Arial"/>
        </w:rPr>
      </w:pPr>
      <w:r w:rsidRPr="00B85E4E">
        <w:rPr>
          <w:rFonts w:eastAsia="Arial"/>
        </w:rPr>
        <w:t xml:space="preserve">Secondly, the median is the best measure of central tendency because it seeks the central value of the analyzed range and is less impacted by extreme values, but the IQR is the best indicator of variation since it reports the range of values from Q1 to </w:t>
      </w:r>
      <w:r w:rsidRPr="00B85E4E">
        <w:rPr>
          <w:rFonts w:eastAsia="Arial"/>
        </w:rPr>
        <w:lastRenderedPageBreak/>
        <w:t>Q3. 50% of high-income nations had an NMR of 4.10/1000 live births, while 50% of low- and middle-income countries have 11.50 and 27.50 deaths/1000 live births, respectively. Middle-Income countries have the greatest IQR with 14.2 per 1000 live births, while high-income countries have the lowest IQR with 1.1 per 1000 live births.</w:t>
      </w:r>
    </w:p>
    <w:p w14:paraId="54712BE2" w14:textId="77777777" w:rsidR="00290180" w:rsidRPr="00B85E4E" w:rsidRDefault="00290180">
      <w:pPr>
        <w:pBdr>
          <w:top w:val="nil"/>
          <w:left w:val="nil"/>
          <w:bottom w:val="nil"/>
          <w:right w:val="nil"/>
          <w:between w:val="nil"/>
        </w:pBdr>
        <w:spacing w:line="360" w:lineRule="auto"/>
        <w:rPr>
          <w:rFonts w:eastAsia="Arial"/>
        </w:rPr>
      </w:pPr>
    </w:p>
    <w:p w14:paraId="14AD5CA3" w14:textId="77777777" w:rsidR="00290180" w:rsidRPr="00B85E4E" w:rsidRDefault="00000000">
      <w:pPr>
        <w:numPr>
          <w:ilvl w:val="0"/>
          <w:numId w:val="16"/>
        </w:numPr>
        <w:pBdr>
          <w:top w:val="nil"/>
          <w:left w:val="nil"/>
          <w:bottom w:val="nil"/>
          <w:right w:val="nil"/>
          <w:between w:val="nil"/>
        </w:pBdr>
        <w:spacing w:line="360" w:lineRule="auto"/>
        <w:rPr>
          <w:rFonts w:eastAsia="Arial"/>
        </w:rPr>
      </w:pPr>
      <w:r w:rsidRPr="00B85E4E">
        <w:rPr>
          <w:rFonts w:eastAsia="Arial"/>
        </w:rPr>
        <w:t>Finally, we are able to demonstrate that the global average neonatal death rate in 2017 was distinct from that of 2016. By calculating the confidence interval and conducting hypothesis testing, we can conclude that the global average neonatal mortality rate for 2017 ranges from 9.85 to 16.69 deaths per 1000 live births. In the meanwhile, halving the sample size may reduce the accuracy of hypothesis testing.</w:t>
      </w:r>
    </w:p>
    <w:p w14:paraId="59C7A365" w14:textId="77777777" w:rsidR="00290180" w:rsidRPr="00B85E4E" w:rsidRDefault="00000000">
      <w:pPr>
        <w:numPr>
          <w:ilvl w:val="0"/>
          <w:numId w:val="14"/>
        </w:numPr>
        <w:pBdr>
          <w:top w:val="nil"/>
          <w:left w:val="nil"/>
          <w:bottom w:val="nil"/>
          <w:right w:val="nil"/>
          <w:between w:val="nil"/>
        </w:pBdr>
        <w:spacing w:line="360" w:lineRule="auto"/>
        <w:rPr>
          <w:rFonts w:eastAsia="Arial"/>
        </w:rPr>
      </w:pPr>
      <w:r w:rsidRPr="00B85E4E">
        <w:rPr>
          <w:rFonts w:eastAsia="Arial"/>
        </w:rPr>
        <w:t>Extension</w:t>
      </w:r>
    </w:p>
    <w:p w14:paraId="5AD42CC9" w14:textId="77777777" w:rsidR="00290180" w:rsidRPr="00B85E4E" w:rsidRDefault="00000000">
      <w:pPr>
        <w:numPr>
          <w:ilvl w:val="0"/>
          <w:numId w:val="8"/>
        </w:numPr>
        <w:pBdr>
          <w:top w:val="nil"/>
          <w:left w:val="nil"/>
          <w:bottom w:val="nil"/>
          <w:right w:val="nil"/>
          <w:between w:val="nil"/>
        </w:pBdr>
        <w:spacing w:line="360" w:lineRule="auto"/>
        <w:rPr>
          <w:rFonts w:eastAsia="Arial"/>
        </w:rPr>
      </w:pPr>
      <w:r w:rsidRPr="00B85E4E">
        <w:rPr>
          <w:rFonts w:eastAsia="Arial"/>
        </w:rPr>
        <w:t xml:space="preserve">As Vietnam is included in the dataset, we would like to investigate the current newborn mortality rate in various cities. In this situation, stratified sampling would be a suitable random sample method since it divides the population into two or more strata depending on their shared traits (BRM n.d). This type of random sampling may produce very accurate findings as well as individual estimates for each stratum. </w:t>
      </w:r>
    </w:p>
    <w:p w14:paraId="18C705B8" w14:textId="77777777" w:rsidR="00290180" w:rsidRPr="00B85E4E" w:rsidRDefault="00290180">
      <w:pPr>
        <w:pBdr>
          <w:top w:val="nil"/>
          <w:left w:val="nil"/>
          <w:bottom w:val="nil"/>
          <w:right w:val="nil"/>
          <w:between w:val="nil"/>
        </w:pBdr>
        <w:spacing w:line="360" w:lineRule="auto"/>
        <w:rPr>
          <w:rFonts w:eastAsia="Arial"/>
        </w:rPr>
      </w:pPr>
    </w:p>
    <w:p w14:paraId="14D84B03" w14:textId="45F575D8" w:rsidR="00290180" w:rsidRDefault="00000000" w:rsidP="00B85E4E">
      <w:pPr>
        <w:numPr>
          <w:ilvl w:val="0"/>
          <w:numId w:val="20"/>
        </w:numPr>
        <w:pBdr>
          <w:top w:val="nil"/>
          <w:left w:val="nil"/>
          <w:bottom w:val="nil"/>
          <w:right w:val="nil"/>
          <w:between w:val="nil"/>
        </w:pBdr>
        <w:spacing w:line="360" w:lineRule="auto"/>
        <w:rPr>
          <w:rFonts w:eastAsia="Arial"/>
        </w:rPr>
      </w:pPr>
      <w:r w:rsidRPr="00B85E4E">
        <w:rPr>
          <w:rFonts w:eastAsia="Arial"/>
        </w:rPr>
        <w:t>In order to collect data, a survey is done online and offline to obtain sample data. To conduct an online survey, an online form is produced and emailed to various homes in several Vietnamese cities in order to collect information from throughout the country. In rural places, in addition to the online survey, the offline survey is undertaken since Internet connection is restricted. By conducting online surveys, researchers may obtain faster and greater response rates at a lower cost (Vikas Menon et al). In rural places with limited Internet connectivity, offline surveys must be conducted in addition to online ones. This will strengthen the survey's fairness between urban and rural respondents. In order to compute the newborn death rate in different cities in Vietnam, data would be sorted and inaccurate data would be eliminated following data collection. During the observation, there will be several mistakes. The most common inaccuracy that is likely to occur is that many participants will have bias with the survey, resulting in inaccurate results (Chittaranjan Andrade et al). To address this issue, participants will get only the information required to complete the job.</w:t>
      </w:r>
    </w:p>
    <w:p w14:paraId="74B6AB5E" w14:textId="77777777" w:rsidR="00B85E4E" w:rsidRPr="00B85E4E" w:rsidRDefault="00B85E4E" w:rsidP="00B85E4E">
      <w:pPr>
        <w:pBdr>
          <w:top w:val="nil"/>
          <w:left w:val="nil"/>
          <w:bottom w:val="nil"/>
          <w:right w:val="nil"/>
          <w:between w:val="nil"/>
        </w:pBdr>
        <w:spacing w:line="360" w:lineRule="auto"/>
        <w:ind w:left="720"/>
        <w:rPr>
          <w:rFonts w:eastAsia="Arial"/>
        </w:rPr>
      </w:pPr>
    </w:p>
    <w:p w14:paraId="48C26185" w14:textId="1ED9356E" w:rsidR="00290180" w:rsidRDefault="00000000">
      <w:pPr>
        <w:numPr>
          <w:ilvl w:val="0"/>
          <w:numId w:val="26"/>
        </w:numPr>
        <w:pBdr>
          <w:top w:val="nil"/>
          <w:left w:val="nil"/>
          <w:bottom w:val="nil"/>
          <w:right w:val="nil"/>
          <w:between w:val="nil"/>
        </w:pBdr>
        <w:spacing w:line="360" w:lineRule="auto"/>
        <w:rPr>
          <w:rFonts w:ascii="Arial" w:eastAsia="Arial" w:hAnsi="Arial" w:cs="Arial"/>
        </w:rPr>
      </w:pPr>
      <w:r w:rsidRPr="00B85E4E">
        <w:rPr>
          <w:rFonts w:eastAsia="Arial"/>
        </w:rPr>
        <w:lastRenderedPageBreak/>
        <w:t>Once the research is complete, it’s essential to compare the results with the previous research which were conducted by government agencies in order to enhance the precision as well as detect errors</w:t>
      </w:r>
      <w:r>
        <w:rPr>
          <w:rFonts w:ascii="Arial" w:eastAsia="Arial" w:hAnsi="Arial" w:cs="Arial"/>
        </w:rPr>
        <w:t xml:space="preserve">. </w:t>
      </w:r>
    </w:p>
    <w:p w14:paraId="0DE36F3E" w14:textId="706E6044" w:rsidR="00B85E4E" w:rsidRPr="00265FEC" w:rsidRDefault="00265FEC" w:rsidP="00B85E4E">
      <w:pPr>
        <w:pStyle w:val="ListParagraph"/>
        <w:numPr>
          <w:ilvl w:val="0"/>
          <w:numId w:val="14"/>
        </w:numPr>
        <w:pBdr>
          <w:top w:val="nil"/>
          <w:left w:val="nil"/>
          <w:bottom w:val="nil"/>
          <w:right w:val="nil"/>
          <w:between w:val="nil"/>
        </w:pBdr>
        <w:spacing w:line="360" w:lineRule="auto"/>
        <w:rPr>
          <w:rFonts w:ascii="Times New Roman" w:hAnsi="Times New Roman" w:cs="Times New Roman"/>
          <w:sz w:val="28"/>
          <w:szCs w:val="28"/>
          <w:lang w:val="en-US"/>
        </w:rPr>
      </w:pPr>
      <w:r w:rsidRPr="00265FEC">
        <w:rPr>
          <w:rFonts w:ascii="Times New Roman" w:hAnsi="Times New Roman" w:cs="Times New Roman"/>
          <w:sz w:val="28"/>
          <w:szCs w:val="28"/>
          <w:lang w:val="en-US"/>
        </w:rPr>
        <w:t>Reference</w:t>
      </w:r>
    </w:p>
    <w:p w14:paraId="64240454" w14:textId="6E6977FE" w:rsidR="00290180" w:rsidRDefault="00426A9E">
      <w:pPr>
        <w:pBdr>
          <w:top w:val="nil"/>
          <w:left w:val="nil"/>
          <w:bottom w:val="nil"/>
          <w:right w:val="nil"/>
          <w:between w:val="nil"/>
        </w:pBdr>
        <w:spacing w:line="360" w:lineRule="auto"/>
        <w:ind w:left="720"/>
      </w:pPr>
      <w:r>
        <w:t xml:space="preserve">“Central Limit Theorem” </w:t>
      </w:r>
      <w:r>
        <w:rPr>
          <w:i/>
          <w:iCs/>
        </w:rPr>
        <w:t>Corporate Finance Institute</w:t>
      </w:r>
      <w:r>
        <w:t>, viewed 10 December 2022, &lt;https://corporatefinanceinstitute.com/resources/data-science/central-limit-theorem/&gt;.</w:t>
      </w:r>
    </w:p>
    <w:p w14:paraId="5F2D3D63" w14:textId="6598F161" w:rsidR="00426A9E" w:rsidRDefault="00426A9E">
      <w:pPr>
        <w:pBdr>
          <w:top w:val="nil"/>
          <w:left w:val="nil"/>
          <w:bottom w:val="nil"/>
          <w:right w:val="nil"/>
          <w:between w:val="nil"/>
        </w:pBdr>
        <w:spacing w:line="360" w:lineRule="auto"/>
        <w:ind w:left="720"/>
      </w:pPr>
    </w:p>
    <w:p w14:paraId="3770FE17" w14:textId="480ACD58" w:rsidR="00426A9E" w:rsidRDefault="00426A9E">
      <w:pPr>
        <w:pBdr>
          <w:top w:val="nil"/>
          <w:left w:val="nil"/>
          <w:bottom w:val="nil"/>
          <w:right w:val="nil"/>
          <w:between w:val="nil"/>
        </w:pBdr>
        <w:spacing w:line="360" w:lineRule="auto"/>
        <w:ind w:left="720"/>
      </w:pPr>
      <w:r>
        <w:t xml:space="preserve">Watts, V “8.7 Hypothesis Tests for a Population Mean with Unknown Population Standard Deviation – Introduction to Statistics,” </w:t>
      </w:r>
      <w:r>
        <w:rPr>
          <w:i/>
          <w:iCs/>
        </w:rPr>
        <w:t>8.7 Hypothesis Tests for a Population Mean with Unknown Population Standard Deviation – Introduction to Statistics</w:t>
      </w:r>
      <w:r>
        <w:t>, viewed 10 December 2022, &lt;https://ecampusontario.pressbooks.pub/introstats/chapter/8-7-hypothesis-tests-for-a-population-mean-with-unknown-population-standard-deviation/&gt;.</w:t>
      </w:r>
    </w:p>
    <w:p w14:paraId="61748A73" w14:textId="4EF043AE" w:rsidR="00426A9E" w:rsidRDefault="00426A9E">
      <w:pPr>
        <w:pBdr>
          <w:top w:val="nil"/>
          <w:left w:val="nil"/>
          <w:bottom w:val="nil"/>
          <w:right w:val="nil"/>
          <w:between w:val="nil"/>
        </w:pBdr>
        <w:spacing w:line="360" w:lineRule="auto"/>
        <w:ind w:left="720"/>
      </w:pPr>
    </w:p>
    <w:p w14:paraId="7261453F" w14:textId="43E9B8E5" w:rsidR="00426A9E" w:rsidRDefault="00426A9E">
      <w:pPr>
        <w:pBdr>
          <w:top w:val="nil"/>
          <w:left w:val="nil"/>
          <w:bottom w:val="nil"/>
          <w:right w:val="nil"/>
          <w:between w:val="nil"/>
        </w:pBdr>
        <w:spacing w:line="360" w:lineRule="auto"/>
        <w:ind w:left="720"/>
      </w:pPr>
      <w:r>
        <w:t xml:space="preserve">“Significance, Errors, Power, and Sample Size: The Blocking and Tackling of Statistics - PubMed” 2018, </w:t>
      </w:r>
      <w:r>
        <w:rPr>
          <w:i/>
          <w:iCs/>
        </w:rPr>
        <w:t>PubMed</w:t>
      </w:r>
      <w:r>
        <w:t>, viewed 10 December 2022, &lt;https://pubmed.ncbi.nlm.nih.gov/29346210/&gt;.</w:t>
      </w:r>
    </w:p>
    <w:p w14:paraId="7866F1DE" w14:textId="2059D932" w:rsidR="00426A9E" w:rsidRDefault="00426A9E">
      <w:pPr>
        <w:pBdr>
          <w:top w:val="nil"/>
          <w:left w:val="nil"/>
          <w:bottom w:val="nil"/>
          <w:right w:val="nil"/>
          <w:between w:val="nil"/>
        </w:pBdr>
        <w:spacing w:line="360" w:lineRule="auto"/>
        <w:ind w:left="720"/>
      </w:pPr>
    </w:p>
    <w:p w14:paraId="31EE1D45" w14:textId="75C22425" w:rsidR="00426A9E" w:rsidRDefault="00426A9E">
      <w:pPr>
        <w:pBdr>
          <w:top w:val="nil"/>
          <w:left w:val="nil"/>
          <w:bottom w:val="nil"/>
          <w:right w:val="nil"/>
          <w:between w:val="nil"/>
        </w:pBdr>
        <w:spacing w:line="360" w:lineRule="auto"/>
        <w:ind w:left="720"/>
      </w:pPr>
      <w:r>
        <w:t>UC Berkeley “Multiple Hypothesis Testing and False Discovery Rate,.”</w:t>
      </w:r>
    </w:p>
    <w:p w14:paraId="33F18498" w14:textId="53789D73" w:rsidR="00426A9E" w:rsidRDefault="00426A9E">
      <w:pPr>
        <w:pBdr>
          <w:top w:val="nil"/>
          <w:left w:val="nil"/>
          <w:bottom w:val="nil"/>
          <w:right w:val="nil"/>
          <w:between w:val="nil"/>
        </w:pBdr>
        <w:spacing w:line="360" w:lineRule="auto"/>
        <w:ind w:left="720"/>
      </w:pPr>
    </w:p>
    <w:p w14:paraId="553D23A3" w14:textId="55AA3BD0" w:rsidR="00426A9E" w:rsidRDefault="00426A9E">
      <w:pPr>
        <w:pBdr>
          <w:top w:val="nil"/>
          <w:left w:val="nil"/>
          <w:bottom w:val="nil"/>
          <w:right w:val="nil"/>
          <w:between w:val="nil"/>
        </w:pBdr>
        <w:spacing w:line="360" w:lineRule="auto"/>
        <w:ind w:left="720"/>
      </w:pPr>
      <w:r>
        <w:t xml:space="preserve">Banerjee, A, Chitnis, UB, Jadhav, SL, Bhawalkar, JS &amp; Chaudhury, S “Hypothesis testing, type I and type II errors,” </w:t>
      </w:r>
      <w:r>
        <w:rPr>
          <w:i/>
          <w:iCs/>
        </w:rPr>
        <w:t>PubMed Central (PMC)</w:t>
      </w:r>
      <w:r>
        <w:t>, viewed 10 December 2022, &lt;https://www.ncbi.nlm.nih.gov/pmc/articles/PMC2996198/&gt;.</w:t>
      </w:r>
    </w:p>
    <w:p w14:paraId="7EC57C31" w14:textId="793A57A3" w:rsidR="00426A9E" w:rsidRDefault="00426A9E">
      <w:pPr>
        <w:pBdr>
          <w:top w:val="nil"/>
          <w:left w:val="nil"/>
          <w:bottom w:val="nil"/>
          <w:right w:val="nil"/>
          <w:between w:val="nil"/>
        </w:pBdr>
        <w:spacing w:line="360" w:lineRule="auto"/>
        <w:ind w:left="720"/>
      </w:pPr>
    </w:p>
    <w:p w14:paraId="4E410186" w14:textId="74ACA28E" w:rsidR="00426A9E" w:rsidRDefault="00426A9E">
      <w:pPr>
        <w:pBdr>
          <w:top w:val="nil"/>
          <w:left w:val="nil"/>
          <w:bottom w:val="nil"/>
          <w:right w:val="nil"/>
          <w:between w:val="nil"/>
        </w:pBdr>
        <w:spacing w:line="360" w:lineRule="auto"/>
        <w:ind w:left="720"/>
      </w:pPr>
      <w:r>
        <w:t xml:space="preserve">Rothman, KJ 2010, “Curbing type I and type II errors,” </w:t>
      </w:r>
      <w:r>
        <w:rPr>
          <w:i/>
          <w:iCs/>
        </w:rPr>
        <w:t>PubMed Central (PMC)</w:t>
      </w:r>
      <w:r>
        <w:t>, viewed 10 December 2022, &lt;https://www.ncbi.nlm.nih.gov/pmc/articles/PMC2850991/&gt;.</w:t>
      </w:r>
    </w:p>
    <w:p w14:paraId="1DE50638" w14:textId="762C43B8" w:rsidR="00426A9E" w:rsidRDefault="00426A9E">
      <w:pPr>
        <w:pBdr>
          <w:top w:val="nil"/>
          <w:left w:val="nil"/>
          <w:bottom w:val="nil"/>
          <w:right w:val="nil"/>
          <w:between w:val="nil"/>
        </w:pBdr>
        <w:spacing w:line="360" w:lineRule="auto"/>
        <w:ind w:left="720"/>
      </w:pPr>
    </w:p>
    <w:p w14:paraId="1B2EDE96" w14:textId="63E654B5" w:rsidR="00426A9E" w:rsidRDefault="00426A9E">
      <w:pPr>
        <w:pBdr>
          <w:top w:val="nil"/>
          <w:left w:val="nil"/>
          <w:bottom w:val="nil"/>
          <w:right w:val="nil"/>
          <w:between w:val="nil"/>
        </w:pBdr>
        <w:spacing w:line="360" w:lineRule="auto"/>
        <w:ind w:left="720"/>
      </w:pPr>
      <w:r>
        <w:t xml:space="preserve">The National EMSC Data Analysis Resource Center, University of Utah, N- 2022, “NEDARC - Confidence Intervals,” </w:t>
      </w:r>
      <w:r>
        <w:rPr>
          <w:i/>
          <w:iCs/>
        </w:rPr>
        <w:t>NEDARC - Confidence Intervals</w:t>
      </w:r>
      <w:r>
        <w:t>, viewed 10 December 2022, &lt;https://www.nedarc.org/statisticalhelp/advancedstatisticaltopics/confidenceintervals.html&gt;.</w:t>
      </w:r>
    </w:p>
    <w:p w14:paraId="164C7D25" w14:textId="0F69C2AB" w:rsidR="00426A9E" w:rsidRDefault="00426A9E">
      <w:pPr>
        <w:pBdr>
          <w:top w:val="nil"/>
          <w:left w:val="nil"/>
          <w:bottom w:val="nil"/>
          <w:right w:val="nil"/>
          <w:between w:val="nil"/>
        </w:pBdr>
        <w:spacing w:line="360" w:lineRule="auto"/>
        <w:ind w:left="720"/>
      </w:pPr>
    </w:p>
    <w:p w14:paraId="675DE5DF" w14:textId="27011973" w:rsidR="00426A9E" w:rsidRDefault="00426A9E">
      <w:pPr>
        <w:pBdr>
          <w:top w:val="nil"/>
          <w:left w:val="nil"/>
          <w:bottom w:val="nil"/>
          <w:right w:val="nil"/>
          <w:between w:val="nil"/>
        </w:pBdr>
        <w:spacing w:line="360" w:lineRule="auto"/>
        <w:ind w:left="720"/>
      </w:pPr>
      <w:r>
        <w:t xml:space="preserve">“The Effects of a Small Sample Size Limitation” 2018, </w:t>
      </w:r>
      <w:r>
        <w:rPr>
          <w:i/>
          <w:iCs/>
        </w:rPr>
        <w:t>Sciencing</w:t>
      </w:r>
      <w:r>
        <w:t>, viewed 10 December 2022, &lt;https://sciencing.com/effects-small-sample-size-limitation-8545371.html&gt;.</w:t>
      </w:r>
    </w:p>
    <w:p w14:paraId="703A0DFE" w14:textId="7E37B278" w:rsidR="00426A9E" w:rsidRDefault="00426A9E">
      <w:pPr>
        <w:pBdr>
          <w:top w:val="nil"/>
          <w:left w:val="nil"/>
          <w:bottom w:val="nil"/>
          <w:right w:val="nil"/>
          <w:between w:val="nil"/>
        </w:pBdr>
        <w:spacing w:line="360" w:lineRule="auto"/>
        <w:ind w:left="720"/>
      </w:pPr>
    </w:p>
    <w:p w14:paraId="39C6A6B2" w14:textId="60B06DE3" w:rsidR="00426A9E" w:rsidRDefault="00426A9E">
      <w:pPr>
        <w:pBdr>
          <w:top w:val="nil"/>
          <w:left w:val="nil"/>
          <w:bottom w:val="nil"/>
          <w:right w:val="nil"/>
          <w:between w:val="nil"/>
        </w:pBdr>
        <w:spacing w:line="360" w:lineRule="auto"/>
        <w:ind w:left="720"/>
      </w:pPr>
      <w:r>
        <w:t xml:space="preserve">World Health Organisation 2022, “Newborn Mortality,” </w:t>
      </w:r>
      <w:r>
        <w:rPr>
          <w:i/>
          <w:iCs/>
        </w:rPr>
        <w:t>Newborn Mortality</w:t>
      </w:r>
      <w:r>
        <w:t>, viewed 10 December 2022, &lt;https://www.who.int/news-room/fact-sheets/detail/levels-and-trends-in-child-mortality-report-2021#:~:text=There%20are%20approximately%206700%20newborn,up%20from%2040%25%20in%201990&gt;.</w:t>
      </w:r>
    </w:p>
    <w:p w14:paraId="6B748F81" w14:textId="71B2333C" w:rsidR="00426A9E" w:rsidRDefault="00426A9E">
      <w:pPr>
        <w:pBdr>
          <w:top w:val="nil"/>
          <w:left w:val="nil"/>
          <w:bottom w:val="nil"/>
          <w:right w:val="nil"/>
          <w:between w:val="nil"/>
        </w:pBdr>
        <w:spacing w:line="360" w:lineRule="auto"/>
        <w:ind w:left="720"/>
      </w:pPr>
    </w:p>
    <w:p w14:paraId="5C6469E0" w14:textId="13C1A7CA" w:rsidR="00426A9E" w:rsidRDefault="00426A9E">
      <w:pPr>
        <w:pBdr>
          <w:top w:val="nil"/>
          <w:left w:val="nil"/>
          <w:bottom w:val="nil"/>
          <w:right w:val="nil"/>
          <w:between w:val="nil"/>
        </w:pBdr>
        <w:spacing w:line="360" w:lineRule="auto"/>
        <w:ind w:left="720"/>
      </w:pPr>
      <w:r>
        <w:t xml:space="preserve">“Infant mortality: tragic, unjust … and usually preventable” 2021, </w:t>
      </w:r>
      <w:r>
        <w:rPr>
          <w:i/>
          <w:iCs/>
        </w:rPr>
        <w:t>Infant Mortality Rate: Facts &amp; How to Help | What World Vision Does</w:t>
      </w:r>
      <w:r>
        <w:t>, viewed 10 December 2022, &lt;http://www.worldvision.ca/stories/health/infant-mortality-rate&gt;.</w:t>
      </w:r>
    </w:p>
    <w:p w14:paraId="074EA789" w14:textId="6F7DDA41" w:rsidR="00426A9E" w:rsidRDefault="00426A9E">
      <w:pPr>
        <w:pBdr>
          <w:top w:val="nil"/>
          <w:left w:val="nil"/>
          <w:bottom w:val="nil"/>
          <w:right w:val="nil"/>
          <w:between w:val="nil"/>
        </w:pBdr>
        <w:spacing w:line="360" w:lineRule="auto"/>
        <w:ind w:left="720"/>
      </w:pPr>
    </w:p>
    <w:p w14:paraId="4A2AE540" w14:textId="3EB95BF9" w:rsidR="00426A9E" w:rsidRDefault="00426A9E">
      <w:pPr>
        <w:pBdr>
          <w:top w:val="nil"/>
          <w:left w:val="nil"/>
          <w:bottom w:val="nil"/>
          <w:right w:val="nil"/>
          <w:between w:val="nil"/>
        </w:pBdr>
        <w:spacing w:line="360" w:lineRule="auto"/>
        <w:ind w:left="720"/>
      </w:pPr>
      <w:r>
        <w:t xml:space="preserve">Frost, J 2017, “How t-Tests Work: t-Values, t-Distributions, and Probabilities,” </w:t>
      </w:r>
      <w:r>
        <w:rPr>
          <w:i/>
          <w:iCs/>
        </w:rPr>
        <w:t>Statistics By Jim</w:t>
      </w:r>
      <w:r>
        <w:t>, viewed 10 December 2022, &lt;http://statisticsbyjim.com/hypothesis-testing/t-tests-t-values-t-distributions-probabilities/&gt;.</w:t>
      </w:r>
    </w:p>
    <w:p w14:paraId="680A303A" w14:textId="69E919ED" w:rsidR="00426A9E" w:rsidRDefault="00426A9E">
      <w:pPr>
        <w:pBdr>
          <w:top w:val="nil"/>
          <w:left w:val="nil"/>
          <w:bottom w:val="nil"/>
          <w:right w:val="nil"/>
          <w:between w:val="nil"/>
        </w:pBdr>
        <w:spacing w:line="360" w:lineRule="auto"/>
        <w:ind w:left="720"/>
      </w:pPr>
    </w:p>
    <w:p w14:paraId="2E9498C7" w14:textId="3FD3E2FF" w:rsidR="00426A9E" w:rsidRDefault="00426A9E">
      <w:pPr>
        <w:pBdr>
          <w:top w:val="nil"/>
          <w:left w:val="nil"/>
          <w:bottom w:val="nil"/>
          <w:right w:val="nil"/>
          <w:between w:val="nil"/>
        </w:pBdr>
        <w:spacing w:line="360" w:lineRule="auto"/>
        <w:ind w:left="720"/>
      </w:pPr>
      <w:r>
        <w:t xml:space="preserve">“Neonatal mortality - UNICEF DATA” </w:t>
      </w:r>
      <w:r>
        <w:rPr>
          <w:i/>
          <w:iCs/>
        </w:rPr>
        <w:t>UNICEF DATA</w:t>
      </w:r>
      <w:r>
        <w:t>, viewed 10 December 2022, &lt;https://data.unicef.org/topic/child-survival/neonatal-mortality/&gt;.</w:t>
      </w:r>
    </w:p>
    <w:p w14:paraId="3EB8180B" w14:textId="377F3BCF" w:rsidR="00426A9E" w:rsidRDefault="00426A9E">
      <w:pPr>
        <w:pBdr>
          <w:top w:val="nil"/>
          <w:left w:val="nil"/>
          <w:bottom w:val="nil"/>
          <w:right w:val="nil"/>
          <w:between w:val="nil"/>
        </w:pBdr>
        <w:spacing w:line="360" w:lineRule="auto"/>
        <w:ind w:left="720"/>
      </w:pPr>
    </w:p>
    <w:p w14:paraId="27263790" w14:textId="72274B2E" w:rsidR="00426A9E" w:rsidRDefault="00426A9E">
      <w:pPr>
        <w:pBdr>
          <w:top w:val="nil"/>
          <w:left w:val="nil"/>
          <w:bottom w:val="nil"/>
          <w:right w:val="nil"/>
          <w:between w:val="nil"/>
        </w:pBdr>
        <w:spacing w:line="360" w:lineRule="auto"/>
        <w:ind w:left="720"/>
      </w:pPr>
      <w:r>
        <w:t xml:space="preserve">“Infant Mortality Rate by Country 2022” </w:t>
      </w:r>
      <w:r>
        <w:rPr>
          <w:i/>
          <w:iCs/>
        </w:rPr>
        <w:t>Infant Mortality Rate by Country 2022</w:t>
      </w:r>
      <w:r>
        <w:t>, viewed 10 December 2022, &lt;https://worldpopulationreview.com/country-rankings/infant-mortality-rate-by-country&gt;.</w:t>
      </w:r>
    </w:p>
    <w:p w14:paraId="687C1BAB" w14:textId="7C3E67FA" w:rsidR="00426A9E" w:rsidRDefault="00426A9E">
      <w:pPr>
        <w:pBdr>
          <w:top w:val="nil"/>
          <w:left w:val="nil"/>
          <w:bottom w:val="nil"/>
          <w:right w:val="nil"/>
          <w:between w:val="nil"/>
        </w:pBdr>
        <w:spacing w:line="360" w:lineRule="auto"/>
        <w:ind w:left="720"/>
      </w:pPr>
    </w:p>
    <w:p w14:paraId="0127E181" w14:textId="7A76ED76" w:rsidR="00426A9E" w:rsidRDefault="00426A9E">
      <w:pPr>
        <w:pBdr>
          <w:top w:val="nil"/>
          <w:left w:val="nil"/>
          <w:bottom w:val="nil"/>
          <w:right w:val="nil"/>
          <w:between w:val="nil"/>
        </w:pBdr>
        <w:spacing w:line="360" w:lineRule="auto"/>
        <w:ind w:left="720"/>
      </w:pPr>
      <w:r>
        <w:t xml:space="preserve">Wolde, HF, Gonete, KA, Akalu, TY, Baraki, AG &amp; Lakew, AM 2019, “Factors affecting neonatal mortality in the general population: evidence from the 2016 Ethiopian Demographic and Health Survey (EDHS)—multilevel analysis - BMC Research Notes,” </w:t>
      </w:r>
      <w:r>
        <w:rPr>
          <w:i/>
          <w:iCs/>
        </w:rPr>
        <w:t>BioMed Central</w:t>
      </w:r>
      <w:r>
        <w:t>, viewed 10 December 2022, &lt;https://bmcresnotes.biomedcentral.com/articles/10.1186/s13104-019-4668-3&gt;.</w:t>
      </w:r>
    </w:p>
    <w:p w14:paraId="3F80BE08" w14:textId="017F2592" w:rsidR="00426A9E" w:rsidRDefault="00426A9E">
      <w:pPr>
        <w:pBdr>
          <w:top w:val="nil"/>
          <w:left w:val="nil"/>
          <w:bottom w:val="nil"/>
          <w:right w:val="nil"/>
          <w:between w:val="nil"/>
        </w:pBdr>
        <w:spacing w:line="360" w:lineRule="auto"/>
        <w:ind w:left="720"/>
      </w:pPr>
      <w:r>
        <w:t xml:space="preserve">Aghai, ZH, Goudar, SS, Patel, A, Saleem, S, Dhaded, SM, Kavi, A, Lalakia, P, Naqvi, F, Hibberd, PL, McClure, EM, Nolen, TL, Iyer, P, Goldenberg, RL &amp; Derman, RJ 2020, “Gender variations in neonatal and early infant mortality in India and Pakistan: </w:t>
      </w:r>
      <w:r>
        <w:lastRenderedPageBreak/>
        <w:t xml:space="preserve">a secondary analysis from the Global Network Maternal Newborn Health Registry - Reproductive Health,” </w:t>
      </w:r>
      <w:r>
        <w:rPr>
          <w:i/>
          <w:iCs/>
        </w:rPr>
        <w:t>BioMed Central</w:t>
      </w:r>
      <w:r>
        <w:t>, viewed 10 December 2022, &lt;https://reproductive-health-journal.biomedcentral.com/articles/10.1186/s12978-020-01028-0&gt;.</w:t>
      </w:r>
    </w:p>
    <w:p w14:paraId="05D10A3D" w14:textId="3F82827B" w:rsidR="00426A9E" w:rsidRDefault="00426A9E">
      <w:pPr>
        <w:pBdr>
          <w:top w:val="nil"/>
          <w:left w:val="nil"/>
          <w:bottom w:val="nil"/>
          <w:right w:val="nil"/>
          <w:between w:val="nil"/>
        </w:pBdr>
        <w:spacing w:line="360" w:lineRule="auto"/>
        <w:ind w:left="720"/>
      </w:pPr>
    </w:p>
    <w:p w14:paraId="0CD47020" w14:textId="3E964EFA" w:rsidR="00426A9E" w:rsidRDefault="00426A9E">
      <w:pPr>
        <w:pBdr>
          <w:top w:val="nil"/>
          <w:left w:val="nil"/>
          <w:bottom w:val="nil"/>
          <w:right w:val="nil"/>
          <w:between w:val="nil"/>
        </w:pBdr>
        <w:spacing w:line="360" w:lineRule="auto"/>
        <w:ind w:left="720"/>
      </w:pPr>
      <w:r>
        <w:t xml:space="preserve">“Stratified Sampling - Research Methodology” </w:t>
      </w:r>
      <w:r>
        <w:rPr>
          <w:i/>
          <w:iCs/>
        </w:rPr>
        <w:t>Research-Methodology</w:t>
      </w:r>
      <w:r>
        <w:t>, viewed 10 December 2022, &lt;https://research-methodology.net/sampling-in-primary-data-collection/stratified-sampling/&gt;.</w:t>
      </w:r>
    </w:p>
    <w:p w14:paraId="2760B2BA" w14:textId="43B53E3F" w:rsidR="00426A9E" w:rsidRDefault="00426A9E">
      <w:pPr>
        <w:pBdr>
          <w:top w:val="nil"/>
          <w:left w:val="nil"/>
          <w:bottom w:val="nil"/>
          <w:right w:val="nil"/>
          <w:between w:val="nil"/>
        </w:pBdr>
        <w:spacing w:line="360" w:lineRule="auto"/>
        <w:ind w:left="720"/>
      </w:pPr>
    </w:p>
    <w:p w14:paraId="1B21C4F7" w14:textId="473B36AC" w:rsidR="00426A9E" w:rsidRDefault="00426A9E">
      <w:pPr>
        <w:pBdr>
          <w:top w:val="nil"/>
          <w:left w:val="nil"/>
          <w:bottom w:val="nil"/>
          <w:right w:val="nil"/>
          <w:between w:val="nil"/>
        </w:pBdr>
        <w:spacing w:line="360" w:lineRule="auto"/>
        <w:ind w:left="720"/>
      </w:pPr>
      <w:r>
        <w:t>Sharma, G “Pros and cons of different sampling techniques,.”</w:t>
      </w:r>
    </w:p>
    <w:p w14:paraId="45AD49B6" w14:textId="23F1B42B" w:rsidR="00426A9E" w:rsidRDefault="00426A9E">
      <w:pPr>
        <w:pBdr>
          <w:top w:val="nil"/>
          <w:left w:val="nil"/>
          <w:bottom w:val="nil"/>
          <w:right w:val="nil"/>
          <w:between w:val="nil"/>
        </w:pBdr>
        <w:spacing w:line="360" w:lineRule="auto"/>
        <w:ind w:left="720"/>
      </w:pPr>
    </w:p>
    <w:p w14:paraId="0A99A26D" w14:textId="640C4DA4" w:rsidR="00426A9E" w:rsidRDefault="00426A9E">
      <w:pPr>
        <w:pBdr>
          <w:top w:val="nil"/>
          <w:left w:val="nil"/>
          <w:bottom w:val="nil"/>
          <w:right w:val="nil"/>
          <w:between w:val="nil"/>
        </w:pBdr>
        <w:spacing w:line="360" w:lineRule="auto"/>
        <w:ind w:left="720"/>
      </w:pPr>
      <w:r>
        <w:t xml:space="preserve">Magwai, T, Oginga, FO, Chiliza, B, Mpofana, T &amp; Xulu, KR 2022, “Genome-wide DNA methylation in an animal model and human studies of schizophrenia: a protocol for a meta-analysis,” </w:t>
      </w:r>
      <w:r>
        <w:rPr>
          <w:i/>
          <w:iCs/>
        </w:rPr>
        <w:t>BMJ Open Science</w:t>
      </w:r>
      <w:r>
        <w:t>, vol. 6, no. 1, p. e100264.</w:t>
      </w:r>
    </w:p>
    <w:p w14:paraId="470B7F25" w14:textId="1F197DDE" w:rsidR="00426A9E" w:rsidRDefault="00426A9E">
      <w:pPr>
        <w:pBdr>
          <w:top w:val="nil"/>
          <w:left w:val="nil"/>
          <w:bottom w:val="nil"/>
          <w:right w:val="nil"/>
          <w:between w:val="nil"/>
        </w:pBdr>
        <w:spacing w:line="360" w:lineRule="auto"/>
        <w:ind w:left="720"/>
      </w:pPr>
    </w:p>
    <w:p w14:paraId="2FFE75CE" w14:textId="3B1655EF" w:rsidR="00426A9E" w:rsidRDefault="00426A9E">
      <w:pPr>
        <w:pBdr>
          <w:top w:val="nil"/>
          <w:left w:val="nil"/>
          <w:bottom w:val="nil"/>
          <w:right w:val="nil"/>
          <w:between w:val="nil"/>
        </w:pBdr>
        <w:spacing w:line="360" w:lineRule="auto"/>
        <w:ind w:left="720"/>
      </w:pPr>
      <w:r>
        <w:t xml:space="preserve">Andrade, C 2020, “The Limitations of Online Surveys,” </w:t>
      </w:r>
      <w:r>
        <w:rPr>
          <w:i/>
          <w:iCs/>
        </w:rPr>
        <w:t>Indian Journal of Psychological Medicine</w:t>
      </w:r>
      <w:r>
        <w:t>, vol. 42, no. 6, pp. 575–576.</w:t>
      </w:r>
    </w:p>
    <w:p w14:paraId="62EB927B" w14:textId="025F5EAA" w:rsidR="00426A9E" w:rsidRDefault="00426A9E">
      <w:pPr>
        <w:pBdr>
          <w:top w:val="nil"/>
          <w:left w:val="nil"/>
          <w:bottom w:val="nil"/>
          <w:right w:val="nil"/>
          <w:between w:val="nil"/>
        </w:pBdr>
        <w:spacing w:line="360" w:lineRule="auto"/>
        <w:ind w:left="720"/>
      </w:pPr>
    </w:p>
    <w:p w14:paraId="1FBF5B67" w14:textId="0A545145" w:rsidR="00426A9E" w:rsidRDefault="00426A9E">
      <w:pPr>
        <w:pBdr>
          <w:top w:val="nil"/>
          <w:left w:val="nil"/>
          <w:bottom w:val="nil"/>
          <w:right w:val="nil"/>
          <w:between w:val="nil"/>
        </w:pBdr>
        <w:spacing w:line="360" w:lineRule="auto"/>
        <w:ind w:left="720"/>
      </w:pPr>
      <w:r>
        <w:t xml:space="preserve">“GNI per capita, Atlas method (current US$) - Sierra Leone | Data” </w:t>
      </w:r>
      <w:r>
        <w:rPr>
          <w:i/>
          <w:iCs/>
        </w:rPr>
        <w:t>GNI per capita, Atlas method (current US$) - Sierra Leone | Data</w:t>
      </w:r>
      <w:r>
        <w:t>, viewed 10 December 2022, &lt;https://data.worldbank.org/indicator/NY.GNP.PCAP.CD?locations=SL&gt;.</w:t>
      </w:r>
    </w:p>
    <w:p w14:paraId="5FBE7119" w14:textId="2805AC4B" w:rsidR="00426A9E" w:rsidRDefault="00426A9E">
      <w:pPr>
        <w:pBdr>
          <w:top w:val="nil"/>
          <w:left w:val="nil"/>
          <w:bottom w:val="nil"/>
          <w:right w:val="nil"/>
          <w:between w:val="nil"/>
        </w:pBdr>
        <w:spacing w:line="360" w:lineRule="auto"/>
        <w:ind w:left="720"/>
      </w:pPr>
    </w:p>
    <w:p w14:paraId="7CAF7569" w14:textId="67FFF0F0" w:rsidR="00426A9E" w:rsidRDefault="00426A9E">
      <w:pPr>
        <w:pBdr>
          <w:top w:val="nil"/>
          <w:left w:val="nil"/>
          <w:bottom w:val="nil"/>
          <w:right w:val="nil"/>
          <w:between w:val="nil"/>
        </w:pBdr>
        <w:spacing w:line="360" w:lineRule="auto"/>
        <w:ind w:left="720"/>
      </w:pPr>
      <w:r>
        <w:t xml:space="preserve">“GNI per capita, PPP (current international $) - Central African Republic | Data” </w:t>
      </w:r>
      <w:r>
        <w:rPr>
          <w:i/>
          <w:iCs/>
        </w:rPr>
        <w:t>GNI per capita, PPP (current international $) - Central African Republic | Data</w:t>
      </w:r>
      <w:r>
        <w:t>, viewed 10 December 2022, &lt;https://data.worldbank.org/indicator/NY.GNP.PCAP.PP.CD?locations=CF&gt;.</w:t>
      </w:r>
    </w:p>
    <w:p w14:paraId="60CB0991" w14:textId="683AEC78" w:rsidR="00426A9E" w:rsidRDefault="00426A9E">
      <w:pPr>
        <w:pBdr>
          <w:top w:val="nil"/>
          <w:left w:val="nil"/>
          <w:bottom w:val="nil"/>
          <w:right w:val="nil"/>
          <w:between w:val="nil"/>
        </w:pBdr>
        <w:spacing w:line="360" w:lineRule="auto"/>
        <w:ind w:left="720"/>
      </w:pPr>
    </w:p>
    <w:p w14:paraId="378EADE8" w14:textId="63FE216B" w:rsidR="00426A9E" w:rsidRDefault="00426A9E">
      <w:pPr>
        <w:pBdr>
          <w:top w:val="nil"/>
          <w:left w:val="nil"/>
          <w:bottom w:val="nil"/>
          <w:right w:val="nil"/>
          <w:between w:val="nil"/>
        </w:pBdr>
        <w:spacing w:line="360" w:lineRule="auto"/>
        <w:ind w:left="720"/>
      </w:pPr>
      <w:r>
        <w:t xml:space="preserve">“GNI per capita, Atlas method (current US$) - Iceland | Data” </w:t>
      </w:r>
      <w:r>
        <w:rPr>
          <w:i/>
          <w:iCs/>
        </w:rPr>
        <w:t>GNI per capita, Atlas method (current US$) - Iceland | Data</w:t>
      </w:r>
      <w:r>
        <w:t>, viewed 10 December 2022, &lt;https://data.worldbank.org/indicator/NY.GNP.PCAP.CD?locations=IS&gt;.</w:t>
      </w:r>
    </w:p>
    <w:p w14:paraId="2754E841" w14:textId="7F5ECC0B" w:rsidR="00426A9E" w:rsidRDefault="00426A9E">
      <w:pPr>
        <w:pBdr>
          <w:top w:val="nil"/>
          <w:left w:val="nil"/>
          <w:bottom w:val="nil"/>
          <w:right w:val="nil"/>
          <w:between w:val="nil"/>
        </w:pBdr>
        <w:spacing w:line="360" w:lineRule="auto"/>
        <w:ind w:left="720"/>
      </w:pPr>
    </w:p>
    <w:p w14:paraId="72C6B84E" w14:textId="3860456F" w:rsidR="00426A9E" w:rsidRDefault="00426A9E">
      <w:pPr>
        <w:pBdr>
          <w:top w:val="nil"/>
          <w:left w:val="nil"/>
          <w:bottom w:val="nil"/>
          <w:right w:val="nil"/>
          <w:between w:val="nil"/>
        </w:pBdr>
        <w:spacing w:line="360" w:lineRule="auto"/>
        <w:ind w:left="720"/>
      </w:pPr>
      <w:r>
        <w:t xml:space="preserve">“San Marino GNI per capita, 1970-2021 - knoema.com” </w:t>
      </w:r>
      <w:r>
        <w:rPr>
          <w:i/>
          <w:iCs/>
        </w:rPr>
        <w:t>Knoema</w:t>
      </w:r>
      <w:r>
        <w:t>, viewed 10 December 2022, &lt;https://knoema.com//atlas/San-Marino/topics/Economy/National-Accounts-Gross-National-Income/GNI-per-capita&gt;.</w:t>
      </w:r>
    </w:p>
    <w:p w14:paraId="605489CA" w14:textId="795EE8E3" w:rsidR="002537CB" w:rsidRDefault="002537CB">
      <w:pPr>
        <w:pBdr>
          <w:top w:val="nil"/>
          <w:left w:val="nil"/>
          <w:bottom w:val="nil"/>
          <w:right w:val="nil"/>
          <w:between w:val="nil"/>
        </w:pBdr>
        <w:spacing w:line="360" w:lineRule="auto"/>
        <w:ind w:left="720"/>
      </w:pPr>
      <w:r>
        <w:lastRenderedPageBreak/>
        <w:t>Aldous, D “STAT C205B/MATH C218B: Probability Theory - Lecture 3,.”</w:t>
      </w:r>
    </w:p>
    <w:p w14:paraId="491934D7" w14:textId="670CF6FE" w:rsidR="002B519D" w:rsidRDefault="002B519D">
      <w:pPr>
        <w:pBdr>
          <w:top w:val="nil"/>
          <w:left w:val="nil"/>
          <w:bottom w:val="nil"/>
          <w:right w:val="nil"/>
          <w:between w:val="nil"/>
        </w:pBdr>
        <w:spacing w:line="360" w:lineRule="auto"/>
        <w:ind w:left="720"/>
      </w:pPr>
    </w:p>
    <w:p w14:paraId="776C54C6" w14:textId="195275B3" w:rsidR="002B519D" w:rsidRDefault="002B519D">
      <w:pPr>
        <w:pBdr>
          <w:top w:val="nil"/>
          <w:left w:val="nil"/>
          <w:bottom w:val="nil"/>
          <w:right w:val="nil"/>
          <w:between w:val="nil"/>
        </w:pBdr>
        <w:spacing w:line="360" w:lineRule="auto"/>
        <w:ind w:left="720"/>
      </w:pPr>
      <w:r>
        <w:t>UC Berkeley “STATC141 - Multiple Hypothesis Testing and False Discovery Rate,.”</w:t>
      </w:r>
    </w:p>
    <w:p w14:paraId="47840A7A" w14:textId="77777777" w:rsidR="00426A9E" w:rsidRPr="00F45EA0" w:rsidRDefault="00426A9E">
      <w:pPr>
        <w:pBdr>
          <w:top w:val="nil"/>
          <w:left w:val="nil"/>
          <w:bottom w:val="nil"/>
          <w:right w:val="nil"/>
          <w:between w:val="nil"/>
        </w:pBdr>
        <w:spacing w:line="360" w:lineRule="auto"/>
        <w:ind w:left="720"/>
        <w:rPr>
          <w:rFonts w:ascii="Arial" w:eastAsia="Arial" w:hAnsi="Arial" w:cs="Arial"/>
          <w:lang w:val="vi-VN"/>
        </w:rPr>
      </w:pPr>
    </w:p>
    <w:p w14:paraId="54C702A0" w14:textId="77777777" w:rsidR="00290180" w:rsidRDefault="00290180">
      <w:pPr>
        <w:pBdr>
          <w:top w:val="nil"/>
          <w:left w:val="nil"/>
          <w:bottom w:val="nil"/>
          <w:right w:val="nil"/>
          <w:between w:val="nil"/>
        </w:pBdr>
        <w:spacing w:line="360" w:lineRule="auto"/>
        <w:rPr>
          <w:rFonts w:ascii="Arial" w:eastAsia="Arial" w:hAnsi="Arial" w:cs="Arial"/>
        </w:rPr>
      </w:pPr>
    </w:p>
    <w:p w14:paraId="71BC947B" w14:textId="77777777" w:rsidR="00290180" w:rsidRDefault="00290180">
      <w:pPr>
        <w:pBdr>
          <w:top w:val="nil"/>
          <w:left w:val="nil"/>
          <w:bottom w:val="nil"/>
          <w:right w:val="nil"/>
          <w:between w:val="nil"/>
        </w:pBdr>
        <w:spacing w:line="360" w:lineRule="auto"/>
        <w:rPr>
          <w:rFonts w:ascii="Arial" w:eastAsia="Arial" w:hAnsi="Arial" w:cs="Arial"/>
          <w:sz w:val="22"/>
          <w:szCs w:val="22"/>
        </w:rPr>
      </w:pPr>
    </w:p>
    <w:p w14:paraId="6A992326" w14:textId="77777777" w:rsidR="00290180" w:rsidRDefault="00290180">
      <w:pPr>
        <w:spacing w:line="360" w:lineRule="auto"/>
      </w:pPr>
    </w:p>
    <w:p w14:paraId="0FE65B60" w14:textId="77777777" w:rsidR="00290180" w:rsidRDefault="00290180">
      <w:pPr>
        <w:spacing w:line="360" w:lineRule="auto"/>
      </w:pPr>
    </w:p>
    <w:p w14:paraId="134C1AF0" w14:textId="77777777" w:rsidR="00290180" w:rsidRDefault="00000000">
      <w:pPr>
        <w:spacing w:line="360" w:lineRule="auto"/>
        <w:rPr>
          <w:sz w:val="28"/>
          <w:szCs w:val="28"/>
        </w:rPr>
      </w:pPr>
      <w:r>
        <w:tab/>
      </w:r>
    </w:p>
    <w:sectPr w:rsidR="002901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702040504020204"/>
    <w:charset w:val="00"/>
    <w:family w:val="swiss"/>
    <w:pitch w:val="variable"/>
    <w:sig w:usb0="E00002FF" w:usb1="4000001F" w:usb2="08000029"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447D"/>
    <w:multiLevelType w:val="multilevel"/>
    <w:tmpl w:val="75F6F3B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6C90B2C"/>
    <w:multiLevelType w:val="multilevel"/>
    <w:tmpl w:val="84A64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8B6A30"/>
    <w:multiLevelType w:val="multilevel"/>
    <w:tmpl w:val="F5D6B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063B55"/>
    <w:multiLevelType w:val="multilevel"/>
    <w:tmpl w:val="D9EA7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EA19DC"/>
    <w:multiLevelType w:val="multilevel"/>
    <w:tmpl w:val="AB9E3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F02A20"/>
    <w:multiLevelType w:val="multilevel"/>
    <w:tmpl w:val="6BA03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70004F0"/>
    <w:multiLevelType w:val="multilevel"/>
    <w:tmpl w:val="1060864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15:restartNumberingAfterBreak="0">
    <w:nsid w:val="183F7123"/>
    <w:multiLevelType w:val="multilevel"/>
    <w:tmpl w:val="1BA85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7B6D04"/>
    <w:multiLevelType w:val="multilevel"/>
    <w:tmpl w:val="24B46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301F81"/>
    <w:multiLevelType w:val="multilevel"/>
    <w:tmpl w:val="BD6ED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C7F7990"/>
    <w:multiLevelType w:val="multilevel"/>
    <w:tmpl w:val="9C54C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CAF179F"/>
    <w:multiLevelType w:val="multilevel"/>
    <w:tmpl w:val="CFCAF7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4B9086F"/>
    <w:multiLevelType w:val="multilevel"/>
    <w:tmpl w:val="6DFE1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804E90"/>
    <w:multiLevelType w:val="multilevel"/>
    <w:tmpl w:val="5094C1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12E6F12"/>
    <w:multiLevelType w:val="multilevel"/>
    <w:tmpl w:val="ACFCB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AE1E74"/>
    <w:multiLevelType w:val="multilevel"/>
    <w:tmpl w:val="F10A9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F11C36"/>
    <w:multiLevelType w:val="multilevel"/>
    <w:tmpl w:val="162E3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90785F"/>
    <w:multiLevelType w:val="multilevel"/>
    <w:tmpl w:val="39283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EF5E09"/>
    <w:multiLevelType w:val="multilevel"/>
    <w:tmpl w:val="830873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9571FD5"/>
    <w:multiLevelType w:val="multilevel"/>
    <w:tmpl w:val="B1626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37A7DDE"/>
    <w:multiLevelType w:val="multilevel"/>
    <w:tmpl w:val="240C2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4F265AB"/>
    <w:multiLevelType w:val="multilevel"/>
    <w:tmpl w:val="56B4CB8C"/>
    <w:lvl w:ilvl="0">
      <w:start w:val="5"/>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15:restartNumberingAfterBreak="0">
    <w:nsid w:val="6EA92156"/>
    <w:multiLevelType w:val="multilevel"/>
    <w:tmpl w:val="0F62917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FB4212C"/>
    <w:multiLevelType w:val="multilevel"/>
    <w:tmpl w:val="78583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029321B"/>
    <w:multiLevelType w:val="multilevel"/>
    <w:tmpl w:val="E9C48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B1640AB"/>
    <w:multiLevelType w:val="multilevel"/>
    <w:tmpl w:val="29261C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622417851">
    <w:abstractNumId w:val="11"/>
  </w:num>
  <w:num w:numId="2" w16cid:durableId="23750071">
    <w:abstractNumId w:val="20"/>
  </w:num>
  <w:num w:numId="3" w16cid:durableId="1722829980">
    <w:abstractNumId w:val="0"/>
  </w:num>
  <w:num w:numId="4" w16cid:durableId="1653871037">
    <w:abstractNumId w:val="12"/>
  </w:num>
  <w:num w:numId="5" w16cid:durableId="806244775">
    <w:abstractNumId w:val="3"/>
  </w:num>
  <w:num w:numId="6" w16cid:durableId="1340889678">
    <w:abstractNumId w:val="10"/>
  </w:num>
  <w:num w:numId="7" w16cid:durableId="484904327">
    <w:abstractNumId w:val="4"/>
  </w:num>
  <w:num w:numId="8" w16cid:durableId="1340503664">
    <w:abstractNumId w:val="8"/>
  </w:num>
  <w:num w:numId="9" w16cid:durableId="1848212336">
    <w:abstractNumId w:val="2"/>
  </w:num>
  <w:num w:numId="10" w16cid:durableId="1522089716">
    <w:abstractNumId w:val="13"/>
  </w:num>
  <w:num w:numId="11" w16cid:durableId="1832452357">
    <w:abstractNumId w:val="5"/>
  </w:num>
  <w:num w:numId="12" w16cid:durableId="2013876772">
    <w:abstractNumId w:val="19"/>
  </w:num>
  <w:num w:numId="13" w16cid:durableId="1757361682">
    <w:abstractNumId w:val="17"/>
  </w:num>
  <w:num w:numId="14" w16cid:durableId="1006446427">
    <w:abstractNumId w:val="22"/>
  </w:num>
  <w:num w:numId="15" w16cid:durableId="702441276">
    <w:abstractNumId w:val="23"/>
  </w:num>
  <w:num w:numId="16" w16cid:durableId="44645315">
    <w:abstractNumId w:val="9"/>
  </w:num>
  <w:num w:numId="17" w16cid:durableId="296031914">
    <w:abstractNumId w:val="16"/>
  </w:num>
  <w:num w:numId="18" w16cid:durableId="836728615">
    <w:abstractNumId w:val="6"/>
  </w:num>
  <w:num w:numId="19" w16cid:durableId="123278970">
    <w:abstractNumId w:val="21"/>
  </w:num>
  <w:num w:numId="20" w16cid:durableId="1462726434">
    <w:abstractNumId w:val="14"/>
  </w:num>
  <w:num w:numId="21" w16cid:durableId="426274915">
    <w:abstractNumId w:val="15"/>
  </w:num>
  <w:num w:numId="22" w16cid:durableId="1059355065">
    <w:abstractNumId w:val="18"/>
  </w:num>
  <w:num w:numId="23" w16cid:durableId="1899630796">
    <w:abstractNumId w:val="7"/>
  </w:num>
  <w:num w:numId="24" w16cid:durableId="2007005164">
    <w:abstractNumId w:val="24"/>
  </w:num>
  <w:num w:numId="25" w16cid:durableId="235559435">
    <w:abstractNumId w:val="25"/>
  </w:num>
  <w:num w:numId="26" w16cid:durableId="40180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180"/>
    <w:rsid w:val="001C367E"/>
    <w:rsid w:val="002537CB"/>
    <w:rsid w:val="00265FEC"/>
    <w:rsid w:val="00290180"/>
    <w:rsid w:val="002B519D"/>
    <w:rsid w:val="00426A9E"/>
    <w:rsid w:val="00600F7F"/>
    <w:rsid w:val="00692827"/>
    <w:rsid w:val="00723525"/>
    <w:rsid w:val="007318D3"/>
    <w:rsid w:val="00754A57"/>
    <w:rsid w:val="007A7317"/>
    <w:rsid w:val="0082625D"/>
    <w:rsid w:val="008544C8"/>
    <w:rsid w:val="008B4949"/>
    <w:rsid w:val="009D064B"/>
    <w:rsid w:val="00B043CA"/>
    <w:rsid w:val="00B85E4E"/>
    <w:rsid w:val="00CB62A1"/>
    <w:rsid w:val="00EA40B2"/>
    <w:rsid w:val="00EC5610"/>
    <w:rsid w:val="00F45EA0"/>
    <w:rsid w:val="00FA1D0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EEC437E"/>
  <w15:docId w15:val="{15204EC8-A50E-6545-9C0F-6AE4C2B64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207"/>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GB"/>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GB"/>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GB"/>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GB"/>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GB"/>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GB"/>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44994"/>
    <w:pPr>
      <w:spacing w:line="276" w:lineRule="auto"/>
      <w:ind w:left="720"/>
      <w:contextualSpacing/>
    </w:pPr>
    <w:rPr>
      <w:rFonts w:ascii="Arial" w:eastAsia="Arial" w:hAnsi="Arial" w:cs="Arial"/>
      <w:sz w:val="22"/>
      <w:szCs w:val="22"/>
      <w:lang w:val="en-GB"/>
    </w:rPr>
  </w:style>
  <w:style w:type="character" w:styleId="PlaceholderText">
    <w:name w:val="Placeholder Text"/>
    <w:basedOn w:val="DefaultParagraphFont"/>
    <w:uiPriority w:val="99"/>
    <w:semiHidden/>
    <w:rsid w:val="00914C91"/>
    <w:rPr>
      <w:color w:val="80808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45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48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MjTxyN5F0m9g6w9j7pU8WtyH4w==">AMUW2mW4WboAdfKSiu2Fids46h8XOTMacoZn3TZhgzTZjGzpz48RzYwxjUp5WUOyXEqkIMSkG27S9BDjsgNpDPq8YZ6qnHjG1atfsW4sCTrvUIoE08HTMZc=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15</Pages>
  <Words>3373</Words>
  <Characters>19229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 Nguyen</cp:lastModifiedBy>
  <cp:revision>6</cp:revision>
  <dcterms:created xsi:type="dcterms:W3CDTF">2022-12-11T04:05:00Z</dcterms:created>
  <dcterms:modified xsi:type="dcterms:W3CDTF">2022-12-11T10:07:00Z</dcterms:modified>
</cp:coreProperties>
</file>