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8153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731200" cy="8153400"/>
                    </a:xfrm>
                    <a:prstGeom prst="rect">
                      <a:avLst/>
                    </a:prstGeom>
                    <a:ln/>
                  </pic:spPr>
                </pic:pic>
              </a:graphicData>
            </a:graphic>
          </wp:inline>
        </w:drawing>
      </w:r>
      <w:r>
        <w:br w:type="page"/>
      </w:r>
    </w:p>
    <w:p w14:paraId="00000002" w14:textId="77777777" w:rsidR="00BF21AC" w:rsidRDefault="00BF21AC">
      <w:pPr>
        <w:spacing w:before="240" w:after="240"/>
        <w:jc w:val="both"/>
        <w:rPr>
          <w:rFonts w:ascii="Times New Roman" w:eastAsia="Times New Roman" w:hAnsi="Times New Roman" w:cs="Times New Roman"/>
          <w:sz w:val="24"/>
          <w:szCs w:val="24"/>
        </w:rPr>
      </w:pPr>
    </w:p>
    <w:p w14:paraId="00000003" w14:textId="77777777" w:rsidR="00BF21AC" w:rsidRDefault="00BF21AC">
      <w:pPr>
        <w:spacing w:before="240" w:after="240"/>
        <w:jc w:val="both"/>
        <w:rPr>
          <w:rFonts w:ascii="Times New Roman" w:eastAsia="Times New Roman" w:hAnsi="Times New Roman" w:cs="Times New Roman"/>
          <w:sz w:val="24"/>
          <w:szCs w:val="24"/>
        </w:rPr>
      </w:pPr>
    </w:p>
    <w:p w14:paraId="00000004"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CONTRIBUTION FORM</w:t>
      </w:r>
    </w:p>
    <w:tbl>
      <w:tblPr>
        <w:tblStyle w:val="a"/>
        <w:tblW w:w="10065" w:type="dxa"/>
        <w:tblInd w:w="-1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1590"/>
        <w:gridCol w:w="2085"/>
        <w:gridCol w:w="1875"/>
        <w:gridCol w:w="1440"/>
      </w:tblGrid>
      <w:tr w:rsidR="00BF21AC" w14:paraId="74CF6CC2" w14:textId="77777777">
        <w:trPr>
          <w:trHeight w:val="795"/>
        </w:trPr>
        <w:tc>
          <w:tcPr>
            <w:tcW w:w="3075" w:type="dxa"/>
            <w:shd w:val="clear" w:color="auto" w:fill="F6B26B"/>
            <w:tcMar>
              <w:top w:w="100" w:type="dxa"/>
              <w:left w:w="100" w:type="dxa"/>
              <w:bottom w:w="100" w:type="dxa"/>
              <w:right w:w="100" w:type="dxa"/>
            </w:tcMar>
          </w:tcPr>
          <w:p w14:paraId="00000005" w14:textId="77777777" w:rsidR="00BF21AC" w:rsidRDefault="00460E2B">
            <w:pPr>
              <w:widowControl w:val="0"/>
              <w:spacing w:before="240" w:after="24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First name</w:t>
            </w:r>
          </w:p>
        </w:tc>
        <w:tc>
          <w:tcPr>
            <w:tcW w:w="1590" w:type="dxa"/>
            <w:shd w:val="clear" w:color="auto" w:fill="F6B26B"/>
            <w:tcMar>
              <w:top w:w="100" w:type="dxa"/>
              <w:left w:w="100" w:type="dxa"/>
              <w:bottom w:w="100" w:type="dxa"/>
              <w:right w:w="100" w:type="dxa"/>
            </w:tcMar>
          </w:tcPr>
          <w:p w14:paraId="00000006" w14:textId="77777777" w:rsidR="00BF21AC" w:rsidRDefault="00460E2B">
            <w:pPr>
              <w:widowControl w:val="0"/>
              <w:spacing w:before="240" w:after="24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Student ID</w:t>
            </w:r>
          </w:p>
        </w:tc>
        <w:tc>
          <w:tcPr>
            <w:tcW w:w="2085" w:type="dxa"/>
            <w:shd w:val="clear" w:color="auto" w:fill="F6B26B"/>
            <w:tcMar>
              <w:top w:w="100" w:type="dxa"/>
              <w:left w:w="100" w:type="dxa"/>
              <w:bottom w:w="100" w:type="dxa"/>
              <w:right w:w="100" w:type="dxa"/>
            </w:tcMar>
          </w:tcPr>
          <w:p w14:paraId="00000007" w14:textId="77777777" w:rsidR="00BF21AC" w:rsidRDefault="00460E2B">
            <w:pPr>
              <w:widowControl w:val="0"/>
              <w:spacing w:before="240" w:after="24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Parts contributed</w:t>
            </w:r>
          </w:p>
        </w:tc>
        <w:tc>
          <w:tcPr>
            <w:tcW w:w="1875" w:type="dxa"/>
            <w:shd w:val="clear" w:color="auto" w:fill="F6B26B"/>
            <w:tcMar>
              <w:top w:w="100" w:type="dxa"/>
              <w:left w:w="100" w:type="dxa"/>
              <w:bottom w:w="100" w:type="dxa"/>
              <w:right w:w="100" w:type="dxa"/>
            </w:tcMar>
          </w:tcPr>
          <w:p w14:paraId="00000008" w14:textId="77777777" w:rsidR="00BF21AC" w:rsidRDefault="00460E2B">
            <w:pPr>
              <w:widowControl w:val="0"/>
              <w:spacing w:before="240" w:after="24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Contribution %</w:t>
            </w:r>
          </w:p>
        </w:tc>
        <w:tc>
          <w:tcPr>
            <w:tcW w:w="1440" w:type="dxa"/>
            <w:shd w:val="clear" w:color="auto" w:fill="F6B26B"/>
            <w:tcMar>
              <w:top w:w="100" w:type="dxa"/>
              <w:left w:w="100" w:type="dxa"/>
              <w:bottom w:w="100" w:type="dxa"/>
              <w:right w:w="100" w:type="dxa"/>
            </w:tcMar>
          </w:tcPr>
          <w:p w14:paraId="00000009" w14:textId="77777777" w:rsidR="00BF21AC" w:rsidRDefault="00460E2B">
            <w:pPr>
              <w:widowControl w:val="0"/>
              <w:spacing w:before="240" w:after="24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Signature</w:t>
            </w:r>
          </w:p>
        </w:tc>
      </w:tr>
      <w:tr w:rsidR="00BF21AC" w14:paraId="548C411E" w14:textId="77777777">
        <w:tc>
          <w:tcPr>
            <w:tcW w:w="3075" w:type="dxa"/>
            <w:shd w:val="clear" w:color="auto" w:fill="auto"/>
            <w:tcMar>
              <w:top w:w="100" w:type="dxa"/>
              <w:left w:w="100" w:type="dxa"/>
              <w:bottom w:w="100" w:type="dxa"/>
              <w:right w:w="100" w:type="dxa"/>
            </w:tcMar>
          </w:tcPr>
          <w:p w14:paraId="0000000A"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 Khoa Minh Chau</w:t>
            </w:r>
          </w:p>
        </w:tc>
        <w:tc>
          <w:tcPr>
            <w:tcW w:w="1590" w:type="dxa"/>
            <w:shd w:val="clear" w:color="auto" w:fill="auto"/>
            <w:tcMar>
              <w:top w:w="100" w:type="dxa"/>
              <w:left w:w="100" w:type="dxa"/>
              <w:bottom w:w="100" w:type="dxa"/>
              <w:right w:w="100" w:type="dxa"/>
            </w:tcMar>
          </w:tcPr>
          <w:p w14:paraId="0000000B"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s3924679</w:t>
            </w:r>
          </w:p>
        </w:tc>
        <w:tc>
          <w:tcPr>
            <w:tcW w:w="2085" w:type="dxa"/>
            <w:shd w:val="clear" w:color="auto" w:fill="auto"/>
            <w:tcMar>
              <w:top w:w="100" w:type="dxa"/>
              <w:left w:w="100" w:type="dxa"/>
              <w:bottom w:w="100" w:type="dxa"/>
              <w:right w:w="100" w:type="dxa"/>
            </w:tcMar>
          </w:tcPr>
          <w:p w14:paraId="0000000C"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1 + slide</w:t>
            </w:r>
          </w:p>
        </w:tc>
        <w:tc>
          <w:tcPr>
            <w:tcW w:w="1875" w:type="dxa"/>
            <w:shd w:val="clear" w:color="auto" w:fill="auto"/>
            <w:tcMar>
              <w:top w:w="100" w:type="dxa"/>
              <w:left w:w="100" w:type="dxa"/>
              <w:bottom w:w="100" w:type="dxa"/>
              <w:right w:w="100" w:type="dxa"/>
            </w:tcMar>
          </w:tcPr>
          <w:p w14:paraId="0000000D"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40" w:type="dxa"/>
            <w:shd w:val="clear" w:color="auto" w:fill="auto"/>
            <w:tcMar>
              <w:top w:w="100" w:type="dxa"/>
              <w:left w:w="100" w:type="dxa"/>
              <w:bottom w:w="100" w:type="dxa"/>
              <w:right w:w="100" w:type="dxa"/>
            </w:tcMar>
          </w:tcPr>
          <w:p w14:paraId="0000000E"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Chau</w:t>
            </w:r>
          </w:p>
        </w:tc>
      </w:tr>
      <w:tr w:rsidR="00BF21AC" w14:paraId="23AAF271" w14:textId="77777777">
        <w:tc>
          <w:tcPr>
            <w:tcW w:w="3075" w:type="dxa"/>
            <w:shd w:val="clear" w:color="auto" w:fill="auto"/>
            <w:tcMar>
              <w:top w:w="100" w:type="dxa"/>
              <w:left w:w="100" w:type="dxa"/>
              <w:bottom w:w="100" w:type="dxa"/>
              <w:right w:w="100" w:type="dxa"/>
            </w:tcMar>
          </w:tcPr>
          <w:p w14:paraId="0000000F"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 Huynh Quang</w:t>
            </w:r>
          </w:p>
        </w:tc>
        <w:tc>
          <w:tcPr>
            <w:tcW w:w="1590" w:type="dxa"/>
            <w:shd w:val="clear" w:color="auto" w:fill="auto"/>
            <w:tcMar>
              <w:top w:w="100" w:type="dxa"/>
              <w:left w:w="100" w:type="dxa"/>
              <w:bottom w:w="100" w:type="dxa"/>
              <w:right w:w="100" w:type="dxa"/>
            </w:tcMar>
          </w:tcPr>
          <w:p w14:paraId="00000010"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s3927039</w:t>
            </w:r>
          </w:p>
        </w:tc>
        <w:tc>
          <w:tcPr>
            <w:tcW w:w="2085" w:type="dxa"/>
            <w:shd w:val="clear" w:color="auto" w:fill="auto"/>
            <w:tcMar>
              <w:top w:w="100" w:type="dxa"/>
              <w:left w:w="100" w:type="dxa"/>
              <w:bottom w:w="100" w:type="dxa"/>
              <w:right w:w="100" w:type="dxa"/>
            </w:tcMar>
          </w:tcPr>
          <w:p w14:paraId="00000011"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2+5</w:t>
            </w:r>
          </w:p>
        </w:tc>
        <w:tc>
          <w:tcPr>
            <w:tcW w:w="1875" w:type="dxa"/>
            <w:shd w:val="clear" w:color="auto" w:fill="auto"/>
            <w:tcMar>
              <w:top w:w="100" w:type="dxa"/>
              <w:left w:w="100" w:type="dxa"/>
              <w:bottom w:w="100" w:type="dxa"/>
              <w:right w:w="100" w:type="dxa"/>
            </w:tcMar>
          </w:tcPr>
          <w:p w14:paraId="00000012"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40" w:type="dxa"/>
            <w:shd w:val="clear" w:color="auto" w:fill="auto"/>
            <w:tcMar>
              <w:top w:w="100" w:type="dxa"/>
              <w:left w:w="100" w:type="dxa"/>
              <w:bottom w:w="100" w:type="dxa"/>
              <w:right w:w="100" w:type="dxa"/>
            </w:tcMar>
          </w:tcPr>
          <w:p w14:paraId="00000013"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Quang</w:t>
            </w:r>
          </w:p>
        </w:tc>
      </w:tr>
      <w:tr w:rsidR="00BF21AC" w14:paraId="7023AB05" w14:textId="77777777">
        <w:tc>
          <w:tcPr>
            <w:tcW w:w="3075" w:type="dxa"/>
            <w:shd w:val="clear" w:color="auto" w:fill="auto"/>
            <w:tcMar>
              <w:top w:w="100" w:type="dxa"/>
              <w:left w:w="100" w:type="dxa"/>
              <w:bottom w:w="100" w:type="dxa"/>
              <w:right w:w="100" w:type="dxa"/>
            </w:tcMar>
          </w:tcPr>
          <w:p w14:paraId="00000014"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Nguyen Hong </w:t>
            </w:r>
            <w:proofErr w:type="spellStart"/>
            <w:r>
              <w:rPr>
                <w:rFonts w:ascii="Times New Roman" w:eastAsia="Times New Roman" w:hAnsi="Times New Roman" w:cs="Times New Roman"/>
                <w:sz w:val="24"/>
                <w:szCs w:val="24"/>
              </w:rPr>
              <w:t>Duy</w:t>
            </w:r>
            <w:proofErr w:type="spellEnd"/>
            <w:r>
              <w:rPr>
                <w:rFonts w:ascii="Times New Roman" w:eastAsia="Times New Roman" w:hAnsi="Times New Roman" w:cs="Times New Roman"/>
                <w:sz w:val="24"/>
                <w:szCs w:val="24"/>
              </w:rPr>
              <w:t xml:space="preserve"> Nghiem</w:t>
            </w:r>
          </w:p>
        </w:tc>
        <w:tc>
          <w:tcPr>
            <w:tcW w:w="1590" w:type="dxa"/>
            <w:shd w:val="clear" w:color="auto" w:fill="auto"/>
            <w:tcMar>
              <w:top w:w="100" w:type="dxa"/>
              <w:left w:w="100" w:type="dxa"/>
              <w:bottom w:w="100" w:type="dxa"/>
              <w:right w:w="100" w:type="dxa"/>
            </w:tcMar>
          </w:tcPr>
          <w:p w14:paraId="00000015"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s3927039</w:t>
            </w:r>
          </w:p>
        </w:tc>
        <w:tc>
          <w:tcPr>
            <w:tcW w:w="2085" w:type="dxa"/>
            <w:shd w:val="clear" w:color="auto" w:fill="auto"/>
            <w:tcMar>
              <w:top w:w="100" w:type="dxa"/>
              <w:left w:w="100" w:type="dxa"/>
              <w:bottom w:w="100" w:type="dxa"/>
              <w:right w:w="100" w:type="dxa"/>
            </w:tcMar>
          </w:tcPr>
          <w:p w14:paraId="00000016"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3+4</w:t>
            </w:r>
          </w:p>
        </w:tc>
        <w:tc>
          <w:tcPr>
            <w:tcW w:w="1875" w:type="dxa"/>
            <w:shd w:val="clear" w:color="auto" w:fill="auto"/>
            <w:tcMar>
              <w:top w:w="100" w:type="dxa"/>
              <w:left w:w="100" w:type="dxa"/>
              <w:bottom w:w="100" w:type="dxa"/>
              <w:right w:w="100" w:type="dxa"/>
            </w:tcMar>
          </w:tcPr>
          <w:p w14:paraId="00000017"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40" w:type="dxa"/>
            <w:shd w:val="clear" w:color="auto" w:fill="auto"/>
            <w:tcMar>
              <w:top w:w="100" w:type="dxa"/>
              <w:left w:w="100" w:type="dxa"/>
              <w:bottom w:w="100" w:type="dxa"/>
              <w:right w:w="100" w:type="dxa"/>
            </w:tcMar>
          </w:tcPr>
          <w:p w14:paraId="00000018"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Nghiem</w:t>
            </w:r>
          </w:p>
        </w:tc>
      </w:tr>
      <w:tr w:rsidR="00BF21AC" w14:paraId="2364D415" w14:textId="77777777">
        <w:tc>
          <w:tcPr>
            <w:tcW w:w="3075" w:type="dxa"/>
            <w:shd w:val="clear" w:color="auto" w:fill="auto"/>
            <w:tcMar>
              <w:top w:w="100" w:type="dxa"/>
              <w:left w:w="100" w:type="dxa"/>
              <w:bottom w:w="100" w:type="dxa"/>
              <w:right w:w="100" w:type="dxa"/>
            </w:tcMar>
          </w:tcPr>
          <w:p w14:paraId="00000019"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 Viet Lam Tung</w:t>
            </w:r>
          </w:p>
        </w:tc>
        <w:tc>
          <w:tcPr>
            <w:tcW w:w="1590" w:type="dxa"/>
            <w:shd w:val="clear" w:color="auto" w:fill="auto"/>
            <w:tcMar>
              <w:top w:w="100" w:type="dxa"/>
              <w:left w:w="100" w:type="dxa"/>
              <w:bottom w:w="100" w:type="dxa"/>
              <w:right w:w="100" w:type="dxa"/>
            </w:tcMar>
          </w:tcPr>
          <w:p w14:paraId="0000001A"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s3891452</w:t>
            </w:r>
          </w:p>
        </w:tc>
        <w:tc>
          <w:tcPr>
            <w:tcW w:w="2085" w:type="dxa"/>
            <w:shd w:val="clear" w:color="auto" w:fill="auto"/>
            <w:tcMar>
              <w:top w:w="100" w:type="dxa"/>
              <w:left w:w="100" w:type="dxa"/>
              <w:bottom w:w="100" w:type="dxa"/>
              <w:right w:w="100" w:type="dxa"/>
            </w:tcMar>
          </w:tcPr>
          <w:p w14:paraId="0000001B"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6 + slide</w:t>
            </w:r>
          </w:p>
        </w:tc>
        <w:tc>
          <w:tcPr>
            <w:tcW w:w="1875" w:type="dxa"/>
            <w:shd w:val="clear" w:color="auto" w:fill="auto"/>
            <w:tcMar>
              <w:top w:w="100" w:type="dxa"/>
              <w:left w:w="100" w:type="dxa"/>
              <w:bottom w:w="100" w:type="dxa"/>
              <w:right w:w="100" w:type="dxa"/>
            </w:tcMar>
          </w:tcPr>
          <w:p w14:paraId="0000001C"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40" w:type="dxa"/>
            <w:shd w:val="clear" w:color="auto" w:fill="auto"/>
            <w:tcMar>
              <w:top w:w="100" w:type="dxa"/>
              <w:left w:w="100" w:type="dxa"/>
              <w:bottom w:w="100" w:type="dxa"/>
              <w:right w:w="100" w:type="dxa"/>
            </w:tcMar>
          </w:tcPr>
          <w:p w14:paraId="0000001D"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Tung</w:t>
            </w:r>
          </w:p>
        </w:tc>
      </w:tr>
    </w:tbl>
    <w:p w14:paraId="0000001E" w14:textId="77777777" w:rsidR="00BF21AC" w:rsidRDefault="00BF21AC">
      <w:pPr>
        <w:jc w:val="both"/>
        <w:rPr>
          <w:rFonts w:ascii="Times New Roman" w:eastAsia="Times New Roman" w:hAnsi="Times New Roman" w:cs="Times New Roman"/>
          <w:b/>
          <w:sz w:val="24"/>
          <w:szCs w:val="24"/>
        </w:rPr>
      </w:pPr>
    </w:p>
    <w:p w14:paraId="0000001F" w14:textId="77777777" w:rsidR="00BF21AC" w:rsidRDefault="00460E2B">
      <w:pPr>
        <w:spacing w:before="240" w:after="240"/>
        <w:jc w:val="both"/>
        <w:rPr>
          <w:rFonts w:ascii="Times New Roman" w:eastAsia="Times New Roman" w:hAnsi="Times New Roman" w:cs="Times New Roman"/>
          <w:b/>
          <w:sz w:val="24"/>
          <w:szCs w:val="24"/>
        </w:rPr>
      </w:pPr>
      <w:r>
        <w:br w:type="page"/>
      </w:r>
    </w:p>
    <w:p w14:paraId="00000020" w14:textId="77777777" w:rsidR="00BF21AC" w:rsidRDefault="00460E2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sdt>
      <w:sdtPr>
        <w:id w:val="-1769378517"/>
        <w:docPartObj>
          <w:docPartGallery w:val="Table of Contents"/>
          <w:docPartUnique/>
        </w:docPartObj>
      </w:sdtPr>
      <w:sdtEndPr/>
      <w:sdtContent>
        <w:p w14:paraId="00000021" w14:textId="77777777" w:rsidR="00BF21AC" w:rsidRDefault="00460E2B">
          <w:pPr>
            <w:spacing w:before="80" w:line="240" w:lineRule="auto"/>
            <w:rPr>
              <w:rFonts w:ascii="Times New Roman" w:eastAsia="Times New Roman" w:hAnsi="Times New Roman" w:cs="Times New Roman"/>
              <w:color w:val="FF0000"/>
              <w:sz w:val="24"/>
              <w:szCs w:val="24"/>
            </w:rPr>
          </w:pPr>
          <w:r>
            <w:fldChar w:fldCharType="begin"/>
          </w:r>
          <w:r>
            <w:instrText xml:space="preserve"> TOC \h \u \z \n </w:instrText>
          </w:r>
          <w:r>
            <w:fldChar w:fldCharType="separate"/>
          </w:r>
          <w:hyperlink w:anchor="_6hd0hj61ue0i">
            <w:r>
              <w:rPr>
                <w:rFonts w:ascii="Times New Roman" w:eastAsia="Times New Roman" w:hAnsi="Times New Roman" w:cs="Times New Roman"/>
                <w:color w:val="FF0000"/>
                <w:sz w:val="24"/>
                <w:szCs w:val="24"/>
              </w:rPr>
              <w:t>I. Introduction:</w:t>
            </w:r>
          </w:hyperlink>
        </w:p>
        <w:p w14:paraId="00000022" w14:textId="77777777" w:rsidR="00BF21AC" w:rsidRDefault="00460E2B">
          <w:pPr>
            <w:spacing w:before="200" w:line="240" w:lineRule="auto"/>
            <w:rPr>
              <w:rFonts w:ascii="Times New Roman" w:eastAsia="Times New Roman" w:hAnsi="Times New Roman" w:cs="Times New Roman"/>
              <w:sz w:val="24"/>
              <w:szCs w:val="24"/>
            </w:rPr>
          </w:pPr>
          <w:hyperlink w:anchor="_3evk43sb5jwx">
            <w:r>
              <w:rPr>
                <w:rFonts w:ascii="Times New Roman" w:eastAsia="Times New Roman" w:hAnsi="Times New Roman" w:cs="Times New Roman"/>
                <w:sz w:val="24"/>
                <w:szCs w:val="24"/>
              </w:rPr>
              <w:t>II. Descriptive Statistics:</w:t>
            </w:r>
          </w:hyperlink>
        </w:p>
        <w:p w14:paraId="00000023" w14:textId="77777777" w:rsidR="00BF21AC" w:rsidRDefault="00460E2B">
          <w:pPr>
            <w:spacing w:before="60" w:line="240" w:lineRule="auto"/>
            <w:ind w:left="360"/>
            <w:rPr>
              <w:rFonts w:ascii="Times New Roman" w:eastAsia="Times New Roman" w:hAnsi="Times New Roman" w:cs="Times New Roman"/>
              <w:sz w:val="24"/>
              <w:szCs w:val="24"/>
            </w:rPr>
          </w:pPr>
          <w:hyperlink w:anchor="_l24ydyv80ch4">
            <w:r>
              <w:rPr>
                <w:rFonts w:ascii="Times New Roman" w:eastAsia="Times New Roman" w:hAnsi="Times New Roman" w:cs="Times New Roman"/>
                <w:sz w:val="24"/>
                <w:szCs w:val="24"/>
              </w:rPr>
              <w:t>a. Measure of central tendency</w:t>
            </w:r>
          </w:hyperlink>
        </w:p>
        <w:p w14:paraId="00000024" w14:textId="77777777" w:rsidR="00BF21AC" w:rsidRDefault="00460E2B">
          <w:pPr>
            <w:spacing w:before="60" w:line="240" w:lineRule="auto"/>
            <w:ind w:left="360"/>
            <w:rPr>
              <w:rFonts w:ascii="Times New Roman" w:eastAsia="Times New Roman" w:hAnsi="Times New Roman" w:cs="Times New Roman"/>
              <w:sz w:val="24"/>
              <w:szCs w:val="24"/>
            </w:rPr>
          </w:pPr>
          <w:hyperlink w:anchor="_xplo2ia9jbr3">
            <w:r>
              <w:rPr>
                <w:rFonts w:ascii="Times New Roman" w:eastAsia="Times New Roman" w:hAnsi="Times New Roman" w:cs="Times New Roman"/>
                <w:sz w:val="24"/>
                <w:szCs w:val="24"/>
              </w:rPr>
              <w:t>b. Measure of variation</w:t>
            </w:r>
          </w:hyperlink>
        </w:p>
        <w:p w14:paraId="00000025" w14:textId="77777777" w:rsidR="00BF21AC" w:rsidRDefault="00460E2B">
          <w:pPr>
            <w:spacing w:before="60" w:line="240" w:lineRule="auto"/>
            <w:ind w:left="360"/>
            <w:rPr>
              <w:rFonts w:ascii="Times New Roman" w:eastAsia="Times New Roman" w:hAnsi="Times New Roman" w:cs="Times New Roman"/>
              <w:sz w:val="24"/>
              <w:szCs w:val="24"/>
            </w:rPr>
          </w:pPr>
          <w:hyperlink w:anchor="_hco5jlu2t03f">
            <w:r>
              <w:rPr>
                <w:rFonts w:ascii="Times New Roman" w:eastAsia="Times New Roman" w:hAnsi="Times New Roman" w:cs="Times New Roman"/>
                <w:sz w:val="24"/>
                <w:szCs w:val="24"/>
              </w:rPr>
              <w:t>c. Box and whiskers plot</w:t>
            </w:r>
          </w:hyperlink>
        </w:p>
        <w:p w14:paraId="00000026" w14:textId="77777777" w:rsidR="00BF21AC" w:rsidRDefault="00460E2B">
          <w:pPr>
            <w:spacing w:before="200" w:line="240" w:lineRule="auto"/>
            <w:rPr>
              <w:rFonts w:ascii="Times New Roman" w:eastAsia="Times New Roman" w:hAnsi="Times New Roman" w:cs="Times New Roman"/>
              <w:color w:val="FF0000"/>
              <w:sz w:val="24"/>
              <w:szCs w:val="24"/>
            </w:rPr>
          </w:pPr>
          <w:hyperlink w:anchor="_goqn3aar55wn">
            <w:r>
              <w:rPr>
                <w:rFonts w:ascii="Times New Roman" w:eastAsia="Times New Roman" w:hAnsi="Times New Roman" w:cs="Times New Roman"/>
                <w:color w:val="FF0000"/>
                <w:sz w:val="24"/>
                <w:szCs w:val="24"/>
              </w:rPr>
              <w:t>III. Multiple Regression</w:t>
            </w:r>
          </w:hyperlink>
        </w:p>
        <w:p w14:paraId="00000027" w14:textId="77777777" w:rsidR="00BF21AC" w:rsidRDefault="00460E2B">
          <w:pPr>
            <w:spacing w:before="60" w:line="240" w:lineRule="auto"/>
            <w:ind w:left="360"/>
            <w:rPr>
              <w:rFonts w:ascii="Times New Roman" w:eastAsia="Times New Roman" w:hAnsi="Times New Roman" w:cs="Times New Roman"/>
              <w:sz w:val="24"/>
              <w:szCs w:val="24"/>
            </w:rPr>
          </w:pPr>
          <w:hyperlink w:anchor="_iwibouvn2bez">
            <w:r>
              <w:rPr>
                <w:rFonts w:ascii="Times New Roman" w:eastAsia="Times New Roman" w:hAnsi="Times New Roman" w:cs="Times New Roman"/>
                <w:sz w:val="24"/>
                <w:szCs w:val="24"/>
              </w:rPr>
              <w:t>A. Brazil</w:t>
            </w:r>
          </w:hyperlink>
        </w:p>
        <w:p w14:paraId="00000028" w14:textId="77777777" w:rsidR="00BF21AC" w:rsidRDefault="00460E2B">
          <w:pPr>
            <w:spacing w:before="60" w:line="240" w:lineRule="auto"/>
            <w:ind w:left="360"/>
            <w:rPr>
              <w:rFonts w:ascii="Times New Roman" w:eastAsia="Times New Roman" w:hAnsi="Times New Roman" w:cs="Times New Roman"/>
              <w:sz w:val="24"/>
              <w:szCs w:val="24"/>
            </w:rPr>
          </w:pPr>
          <w:hyperlink w:anchor="_wghbv0j81lxh">
            <w:r>
              <w:rPr>
                <w:rFonts w:ascii="Times New Roman" w:eastAsia="Times New Roman" w:hAnsi="Times New Roman" w:cs="Times New Roman"/>
                <w:sz w:val="24"/>
                <w:szCs w:val="24"/>
              </w:rPr>
              <w:t>1. Regression equation</w:t>
            </w:r>
          </w:hyperlink>
        </w:p>
        <w:p w14:paraId="00000029" w14:textId="77777777" w:rsidR="00BF21AC" w:rsidRDefault="00460E2B">
          <w:pPr>
            <w:spacing w:before="60" w:line="240" w:lineRule="auto"/>
            <w:ind w:left="360"/>
            <w:rPr>
              <w:rFonts w:ascii="Times New Roman" w:eastAsia="Times New Roman" w:hAnsi="Times New Roman" w:cs="Times New Roman"/>
              <w:sz w:val="24"/>
              <w:szCs w:val="24"/>
            </w:rPr>
          </w:pPr>
          <w:hyperlink w:anchor="_yoyyvevny0ug">
            <w:r>
              <w:rPr>
                <w:rFonts w:ascii="Times New Roman" w:eastAsia="Times New Roman" w:hAnsi="Times New Roman" w:cs="Times New Roman"/>
                <w:sz w:val="24"/>
                <w:szCs w:val="24"/>
              </w:rPr>
              <w:t>2. Interpretation of regression coefficients</w:t>
            </w:r>
          </w:hyperlink>
        </w:p>
        <w:p w14:paraId="0000002A" w14:textId="77777777" w:rsidR="00BF21AC" w:rsidRDefault="00460E2B">
          <w:pPr>
            <w:spacing w:before="60" w:line="240" w:lineRule="auto"/>
            <w:ind w:left="360"/>
            <w:rPr>
              <w:rFonts w:ascii="Times New Roman" w:eastAsia="Times New Roman" w:hAnsi="Times New Roman" w:cs="Times New Roman"/>
              <w:sz w:val="24"/>
              <w:szCs w:val="24"/>
            </w:rPr>
          </w:pPr>
          <w:hyperlink w:anchor="_noiltwd5ta65">
            <w:r>
              <w:rPr>
                <w:rFonts w:ascii="Times New Roman" w:eastAsia="Times New Roman" w:hAnsi="Times New Roman" w:cs="Times New Roman"/>
                <w:sz w:val="24"/>
                <w:szCs w:val="24"/>
              </w:rPr>
              <w:t>3. Interpretation of the coefficient of determination</w:t>
            </w:r>
          </w:hyperlink>
        </w:p>
        <w:p w14:paraId="0000002B" w14:textId="77777777" w:rsidR="00BF21AC" w:rsidRDefault="00460E2B">
          <w:pPr>
            <w:spacing w:before="60" w:line="240" w:lineRule="auto"/>
            <w:ind w:left="360"/>
            <w:rPr>
              <w:rFonts w:ascii="Times New Roman" w:eastAsia="Times New Roman" w:hAnsi="Times New Roman" w:cs="Times New Roman"/>
              <w:sz w:val="24"/>
              <w:szCs w:val="24"/>
            </w:rPr>
          </w:pPr>
          <w:hyperlink w:anchor="_fhcyy5l7qaui">
            <w:r>
              <w:rPr>
                <w:rFonts w:ascii="Times New Roman" w:eastAsia="Times New Roman" w:hAnsi="Times New Roman" w:cs="Times New Roman"/>
                <w:sz w:val="24"/>
                <w:szCs w:val="24"/>
              </w:rPr>
              <w:t>B. New Zealand</w:t>
            </w:r>
          </w:hyperlink>
        </w:p>
        <w:p w14:paraId="0000002C" w14:textId="77777777" w:rsidR="00BF21AC" w:rsidRDefault="00460E2B">
          <w:pPr>
            <w:spacing w:before="60" w:line="240" w:lineRule="auto"/>
            <w:ind w:left="360"/>
            <w:rPr>
              <w:rFonts w:ascii="Times New Roman" w:eastAsia="Times New Roman" w:hAnsi="Times New Roman" w:cs="Times New Roman"/>
              <w:sz w:val="24"/>
              <w:szCs w:val="24"/>
            </w:rPr>
          </w:pPr>
          <w:hyperlink w:anchor="_v6e3qbeql8h1">
            <w:r>
              <w:rPr>
                <w:rFonts w:ascii="Times New Roman" w:eastAsia="Times New Roman" w:hAnsi="Times New Roman" w:cs="Times New Roman"/>
                <w:sz w:val="24"/>
                <w:szCs w:val="24"/>
              </w:rPr>
              <w:t>1. Regression equation</w:t>
            </w:r>
          </w:hyperlink>
        </w:p>
        <w:p w14:paraId="0000002D" w14:textId="77777777" w:rsidR="00BF21AC" w:rsidRDefault="00460E2B">
          <w:pPr>
            <w:spacing w:before="60" w:line="240" w:lineRule="auto"/>
            <w:ind w:left="360"/>
            <w:rPr>
              <w:rFonts w:ascii="Times New Roman" w:eastAsia="Times New Roman" w:hAnsi="Times New Roman" w:cs="Times New Roman"/>
              <w:sz w:val="24"/>
              <w:szCs w:val="24"/>
            </w:rPr>
          </w:pPr>
          <w:hyperlink w:anchor="_e0u9o3etluv7">
            <w:r>
              <w:rPr>
                <w:rFonts w:ascii="Times New Roman" w:eastAsia="Times New Roman" w:hAnsi="Times New Roman" w:cs="Times New Roman"/>
                <w:sz w:val="24"/>
                <w:szCs w:val="24"/>
              </w:rPr>
              <w:t>2. Interpretation of regression coefficients</w:t>
            </w:r>
          </w:hyperlink>
        </w:p>
        <w:p w14:paraId="0000002E" w14:textId="77777777" w:rsidR="00BF21AC" w:rsidRDefault="00460E2B">
          <w:pPr>
            <w:spacing w:before="60" w:line="240" w:lineRule="auto"/>
            <w:ind w:left="360"/>
            <w:rPr>
              <w:rFonts w:ascii="Times New Roman" w:eastAsia="Times New Roman" w:hAnsi="Times New Roman" w:cs="Times New Roman"/>
              <w:sz w:val="24"/>
              <w:szCs w:val="24"/>
            </w:rPr>
          </w:pPr>
          <w:hyperlink w:anchor="_rebwijc79jdi">
            <w:r>
              <w:rPr>
                <w:rFonts w:ascii="Times New Roman" w:eastAsia="Times New Roman" w:hAnsi="Times New Roman" w:cs="Times New Roman"/>
                <w:sz w:val="24"/>
                <w:szCs w:val="24"/>
              </w:rPr>
              <w:t>3. Interpretation of the coefficient of determination</w:t>
            </w:r>
          </w:hyperlink>
        </w:p>
        <w:p w14:paraId="0000002F" w14:textId="77777777" w:rsidR="00BF21AC" w:rsidRDefault="00460E2B">
          <w:pPr>
            <w:spacing w:before="200" w:line="240" w:lineRule="auto"/>
            <w:rPr>
              <w:rFonts w:ascii="Times New Roman" w:eastAsia="Times New Roman" w:hAnsi="Times New Roman" w:cs="Times New Roman"/>
              <w:color w:val="FF0000"/>
              <w:sz w:val="24"/>
              <w:szCs w:val="24"/>
            </w:rPr>
          </w:pPr>
          <w:hyperlink w:anchor="_5q70mym8w3qn">
            <w:r>
              <w:rPr>
                <w:rFonts w:ascii="Times New Roman" w:eastAsia="Times New Roman" w:hAnsi="Times New Roman" w:cs="Times New Roman"/>
                <w:color w:val="FF0000"/>
                <w:sz w:val="24"/>
                <w:szCs w:val="24"/>
              </w:rPr>
              <w:t>IV.  Team Regression:</w:t>
            </w:r>
          </w:hyperlink>
        </w:p>
        <w:p w14:paraId="00000030" w14:textId="77777777" w:rsidR="00BF21AC" w:rsidRDefault="00460E2B">
          <w:pPr>
            <w:spacing w:before="200" w:line="240" w:lineRule="auto"/>
            <w:rPr>
              <w:rFonts w:ascii="Times New Roman" w:eastAsia="Times New Roman" w:hAnsi="Times New Roman" w:cs="Times New Roman"/>
              <w:color w:val="FF0000"/>
              <w:sz w:val="24"/>
              <w:szCs w:val="24"/>
            </w:rPr>
          </w:pPr>
          <w:hyperlink w:anchor="_31qnbcp4krh4">
            <w:r>
              <w:rPr>
                <w:rFonts w:ascii="Times New Roman" w:eastAsia="Times New Roman" w:hAnsi="Times New Roman" w:cs="Times New Roman"/>
                <w:color w:val="FF0000"/>
                <w:sz w:val="24"/>
                <w:szCs w:val="24"/>
              </w:rPr>
              <w:t>V. Time Series Forecasting</w:t>
            </w:r>
          </w:hyperlink>
        </w:p>
        <w:p w14:paraId="00000031" w14:textId="77777777" w:rsidR="00BF21AC" w:rsidRDefault="00460E2B">
          <w:pPr>
            <w:spacing w:before="60" w:line="240" w:lineRule="auto"/>
            <w:ind w:left="360"/>
            <w:rPr>
              <w:rFonts w:ascii="Times New Roman" w:eastAsia="Times New Roman" w:hAnsi="Times New Roman" w:cs="Times New Roman"/>
              <w:sz w:val="24"/>
              <w:szCs w:val="24"/>
            </w:rPr>
          </w:pPr>
          <w:hyperlink w:anchor="_12f9avcih4i">
            <w:r>
              <w:rPr>
                <w:rFonts w:ascii="Times New Roman" w:eastAsia="Times New Roman" w:hAnsi="Times New Roman" w:cs="Times New Roman"/>
                <w:sz w:val="24"/>
                <w:szCs w:val="24"/>
              </w:rPr>
              <w:t>1.Line chart</w:t>
            </w:r>
          </w:hyperlink>
        </w:p>
        <w:p w14:paraId="00000032" w14:textId="77777777" w:rsidR="00BF21AC" w:rsidRDefault="00460E2B">
          <w:pPr>
            <w:spacing w:before="60" w:line="240" w:lineRule="auto"/>
            <w:ind w:left="360"/>
            <w:rPr>
              <w:rFonts w:ascii="Times New Roman" w:eastAsia="Times New Roman" w:hAnsi="Times New Roman" w:cs="Times New Roman"/>
              <w:sz w:val="24"/>
              <w:szCs w:val="24"/>
            </w:rPr>
          </w:pPr>
          <w:hyperlink w:anchor="_6nk7q7cf4q9a">
            <w:r>
              <w:rPr>
                <w:rFonts w:ascii="Times New Roman" w:eastAsia="Times New Roman" w:hAnsi="Times New Roman" w:cs="Times New Roman"/>
                <w:sz w:val="24"/>
                <w:szCs w:val="24"/>
              </w:rPr>
              <w:t>2. Brazil</w:t>
            </w:r>
          </w:hyperlink>
        </w:p>
        <w:p w14:paraId="00000033" w14:textId="77777777" w:rsidR="00BF21AC" w:rsidRDefault="00460E2B">
          <w:pPr>
            <w:spacing w:before="60" w:line="240" w:lineRule="auto"/>
            <w:ind w:left="360"/>
            <w:rPr>
              <w:rFonts w:ascii="Times New Roman" w:eastAsia="Times New Roman" w:hAnsi="Times New Roman" w:cs="Times New Roman"/>
              <w:sz w:val="24"/>
              <w:szCs w:val="24"/>
            </w:rPr>
          </w:pPr>
          <w:hyperlink w:anchor="_q0r5btfnzsxx">
            <w:r>
              <w:rPr>
                <w:rFonts w:ascii="Times New Roman" w:eastAsia="Times New Roman" w:hAnsi="Times New Roman" w:cs="Times New Roman"/>
                <w:sz w:val="24"/>
                <w:szCs w:val="24"/>
              </w:rPr>
              <w:t>3. New Zealand</w:t>
            </w:r>
          </w:hyperlink>
        </w:p>
        <w:p w14:paraId="00000034" w14:textId="77777777" w:rsidR="00BF21AC" w:rsidRDefault="00460E2B">
          <w:pPr>
            <w:spacing w:before="60" w:line="240" w:lineRule="auto"/>
            <w:ind w:left="360"/>
            <w:rPr>
              <w:rFonts w:ascii="Times New Roman" w:eastAsia="Times New Roman" w:hAnsi="Times New Roman" w:cs="Times New Roman"/>
              <w:sz w:val="24"/>
              <w:szCs w:val="24"/>
            </w:rPr>
          </w:pPr>
          <w:hyperlink w:anchor="_qqroogfrm7ec">
            <w:r>
              <w:rPr>
                <w:rFonts w:ascii="Times New Roman" w:eastAsia="Times New Roman" w:hAnsi="Times New Roman" w:cs="Times New Roman"/>
                <w:sz w:val="24"/>
                <w:szCs w:val="24"/>
              </w:rPr>
              <w:t>4. Trend model recommendation</w:t>
            </w:r>
          </w:hyperlink>
        </w:p>
        <w:p w14:paraId="00000035" w14:textId="77777777" w:rsidR="00BF21AC" w:rsidRDefault="00460E2B">
          <w:pPr>
            <w:spacing w:before="60" w:line="240" w:lineRule="auto"/>
            <w:ind w:left="360"/>
            <w:rPr>
              <w:rFonts w:ascii="Times New Roman" w:eastAsia="Times New Roman" w:hAnsi="Times New Roman" w:cs="Times New Roman"/>
              <w:sz w:val="24"/>
              <w:szCs w:val="24"/>
            </w:rPr>
          </w:pPr>
          <w:hyperlink w:anchor="_9wv7jczftx30">
            <w:r>
              <w:rPr>
                <w:rFonts w:ascii="Times New Roman" w:eastAsia="Times New Roman" w:hAnsi="Times New Roman" w:cs="Times New Roman"/>
                <w:sz w:val="24"/>
                <w:szCs w:val="24"/>
              </w:rPr>
              <w:t>5. Future predictions for Brazil and New Zealand’s tourism growth</w:t>
            </w:r>
            <w:r>
              <w:rPr>
                <w:rFonts w:ascii="Times New Roman" w:eastAsia="Times New Roman" w:hAnsi="Times New Roman" w:cs="Times New Roman"/>
                <w:sz w:val="24"/>
                <w:szCs w:val="24"/>
              </w:rPr>
              <w:t xml:space="preserve"> rate in 2023, 2024 and 2025</w:t>
            </w:r>
          </w:hyperlink>
        </w:p>
        <w:p w14:paraId="00000036" w14:textId="77777777" w:rsidR="00BF21AC" w:rsidRDefault="00460E2B">
          <w:pPr>
            <w:spacing w:before="200" w:line="240" w:lineRule="auto"/>
            <w:rPr>
              <w:rFonts w:ascii="Times New Roman" w:eastAsia="Times New Roman" w:hAnsi="Times New Roman" w:cs="Times New Roman"/>
              <w:color w:val="FF0000"/>
              <w:sz w:val="24"/>
              <w:szCs w:val="24"/>
            </w:rPr>
          </w:pPr>
          <w:hyperlink w:anchor="_33ofc7u9hzs8">
            <w:r>
              <w:rPr>
                <w:rFonts w:ascii="Times New Roman" w:eastAsia="Times New Roman" w:hAnsi="Times New Roman" w:cs="Times New Roman"/>
                <w:color w:val="FF0000"/>
                <w:sz w:val="24"/>
                <w:szCs w:val="24"/>
              </w:rPr>
              <w:t>VI. Conclusion:</w:t>
            </w:r>
          </w:hyperlink>
        </w:p>
        <w:p w14:paraId="00000037" w14:textId="77777777" w:rsidR="00BF21AC" w:rsidRDefault="00460E2B">
          <w:pPr>
            <w:spacing w:before="60" w:line="240" w:lineRule="auto"/>
            <w:ind w:left="360"/>
            <w:rPr>
              <w:rFonts w:ascii="Times New Roman" w:eastAsia="Times New Roman" w:hAnsi="Times New Roman" w:cs="Times New Roman"/>
              <w:sz w:val="24"/>
              <w:szCs w:val="24"/>
            </w:rPr>
          </w:pPr>
          <w:hyperlink w:anchor="_g022evwy01cc">
            <w:r>
              <w:rPr>
                <w:rFonts w:ascii="Times New Roman" w:eastAsia="Times New Roman" w:hAnsi="Times New Roman" w:cs="Times New Roman"/>
                <w:sz w:val="24"/>
                <w:szCs w:val="24"/>
              </w:rPr>
              <w:t>a. Comparison:</w:t>
            </w:r>
          </w:hyperlink>
        </w:p>
        <w:p w14:paraId="00000038" w14:textId="77777777" w:rsidR="00BF21AC" w:rsidRDefault="00460E2B">
          <w:pPr>
            <w:spacing w:before="60" w:line="240" w:lineRule="auto"/>
            <w:ind w:left="360"/>
            <w:rPr>
              <w:rFonts w:ascii="Times New Roman" w:eastAsia="Times New Roman" w:hAnsi="Times New Roman" w:cs="Times New Roman"/>
              <w:sz w:val="24"/>
              <w:szCs w:val="24"/>
            </w:rPr>
          </w:pPr>
          <w:hyperlink w:anchor="_ggypkskwqafc">
            <w:r>
              <w:rPr>
                <w:rFonts w:ascii="Times New Roman" w:eastAsia="Times New Roman" w:hAnsi="Times New Roman" w:cs="Times New Roman"/>
                <w:sz w:val="24"/>
                <w:szCs w:val="24"/>
              </w:rPr>
              <w:t>b. Suggestions:</w:t>
            </w:r>
          </w:hyperlink>
        </w:p>
        <w:p w14:paraId="00000039" w14:textId="77777777" w:rsidR="00BF21AC" w:rsidRDefault="00460E2B">
          <w:pPr>
            <w:spacing w:before="60" w:line="240" w:lineRule="auto"/>
            <w:ind w:left="360"/>
            <w:rPr>
              <w:rFonts w:ascii="Times New Roman" w:eastAsia="Times New Roman" w:hAnsi="Times New Roman" w:cs="Times New Roman"/>
              <w:sz w:val="24"/>
              <w:szCs w:val="24"/>
            </w:rPr>
          </w:pPr>
          <w:hyperlink w:anchor="_3etqy2sijjjr">
            <w:r>
              <w:rPr>
                <w:rFonts w:ascii="Times New Roman" w:eastAsia="Times New Roman" w:hAnsi="Times New Roman" w:cs="Times New Roman"/>
                <w:sz w:val="24"/>
                <w:szCs w:val="24"/>
              </w:rPr>
              <w:t>c. Extra Variable:</w:t>
            </w:r>
          </w:hyperlink>
        </w:p>
        <w:p w14:paraId="0000003A" w14:textId="77777777" w:rsidR="00BF21AC" w:rsidRDefault="00460E2B">
          <w:pPr>
            <w:spacing w:before="200" w:after="80" w:line="240" w:lineRule="auto"/>
            <w:rPr>
              <w:rFonts w:ascii="Times New Roman" w:eastAsia="Times New Roman" w:hAnsi="Times New Roman" w:cs="Times New Roman"/>
              <w:color w:val="FF0000"/>
              <w:sz w:val="24"/>
              <w:szCs w:val="24"/>
            </w:rPr>
          </w:pPr>
          <w:hyperlink w:anchor="_tvpdy4dketnj">
            <w:r>
              <w:rPr>
                <w:rFonts w:ascii="Times New Roman" w:eastAsia="Times New Roman" w:hAnsi="Times New Roman" w:cs="Times New Roman"/>
                <w:color w:val="FF0000"/>
                <w:sz w:val="24"/>
                <w:szCs w:val="24"/>
              </w:rPr>
              <w:t>VII. Reference</w:t>
            </w:r>
          </w:hyperlink>
          <w:r>
            <w:fldChar w:fldCharType="end"/>
          </w:r>
        </w:p>
      </w:sdtContent>
    </w:sdt>
    <w:p w14:paraId="0000003B" w14:textId="77777777" w:rsidR="00BF21AC" w:rsidRDefault="00BF21AC">
      <w:pPr>
        <w:spacing w:before="240" w:after="240"/>
        <w:jc w:val="both"/>
        <w:rPr>
          <w:rFonts w:ascii="Times New Roman" w:eastAsia="Times New Roman" w:hAnsi="Times New Roman" w:cs="Times New Roman"/>
          <w:b/>
          <w:color w:val="FF0000"/>
          <w:sz w:val="24"/>
          <w:szCs w:val="24"/>
        </w:rPr>
      </w:pPr>
    </w:p>
    <w:p w14:paraId="0000003C" w14:textId="77777777" w:rsidR="00BF21AC" w:rsidRDefault="00BF21AC">
      <w:pPr>
        <w:spacing w:before="240" w:after="240"/>
        <w:jc w:val="both"/>
        <w:rPr>
          <w:rFonts w:ascii="Times New Roman" w:eastAsia="Times New Roman" w:hAnsi="Times New Roman" w:cs="Times New Roman"/>
          <w:b/>
          <w:color w:val="FF0000"/>
          <w:sz w:val="24"/>
          <w:szCs w:val="24"/>
        </w:rPr>
      </w:pPr>
    </w:p>
    <w:p w14:paraId="0000003D" w14:textId="77777777" w:rsidR="00BF21AC" w:rsidRDefault="00460E2B">
      <w:pPr>
        <w:spacing w:line="240" w:lineRule="auto"/>
        <w:jc w:val="both"/>
        <w:rPr>
          <w:rFonts w:ascii="Times New Roman" w:eastAsia="Times New Roman" w:hAnsi="Times New Roman" w:cs="Times New Roman"/>
          <w:b/>
          <w:color w:val="FF0000"/>
          <w:sz w:val="24"/>
          <w:szCs w:val="24"/>
        </w:rPr>
      </w:pPr>
      <w:r>
        <w:br w:type="page"/>
      </w:r>
    </w:p>
    <w:p w14:paraId="0000003E"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lastRenderedPageBreak/>
        <w:t>LIST OF ABBREVIATIONS</w:t>
      </w:r>
    </w:p>
    <w:p w14:paraId="0000003F"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CO2 Emission</w:t>
      </w:r>
    </w:p>
    <w:p w14:paraId="00000040"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EGS: Export of goods and services</w:t>
      </w:r>
    </w:p>
    <w:p w14:paraId="00000041"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ICP: Inflation, consumer price</w:t>
      </w:r>
    </w:p>
    <w:p w14:paraId="00000042"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IQR: Interquartile Range</w:t>
      </w:r>
    </w:p>
    <w:p w14:paraId="00000043"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 International Tourism Expenditure</w:t>
      </w:r>
    </w:p>
    <w:p w14:paraId="00000044"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 International tourism expenditure</w:t>
      </w:r>
    </w:p>
    <w:p w14:paraId="00000045"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MP: Methane Policy</w:t>
      </w:r>
    </w:p>
    <w:p w14:paraId="00000046"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NOE: Nitrous oxide emissions</w:t>
      </w:r>
    </w:p>
    <w:p w14:paraId="00000047"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QTM: Quadratic Trend Model</w:t>
      </w:r>
    </w:p>
    <w:p w14:paraId="00000048"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TG: Tourism Growth</w:t>
      </w:r>
    </w:p>
    <w:p w14:paraId="00000049" w14:textId="77777777" w:rsidR="00BF21AC" w:rsidRDefault="00460E2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TP: Tourism Policy</w:t>
      </w:r>
    </w:p>
    <w:p w14:paraId="0000004A" w14:textId="77777777" w:rsidR="00BF21AC" w:rsidRDefault="00BF21AC">
      <w:pPr>
        <w:spacing w:line="240" w:lineRule="auto"/>
        <w:jc w:val="both"/>
        <w:rPr>
          <w:rFonts w:ascii="Times New Roman" w:eastAsia="Times New Roman" w:hAnsi="Times New Roman" w:cs="Times New Roman"/>
          <w:sz w:val="24"/>
          <w:szCs w:val="24"/>
        </w:rPr>
      </w:pPr>
    </w:p>
    <w:p w14:paraId="0000004B" w14:textId="77777777" w:rsidR="00BF21AC" w:rsidRDefault="00460E2B">
      <w:pPr>
        <w:spacing w:before="240" w:after="240"/>
        <w:jc w:val="both"/>
        <w:rPr>
          <w:rFonts w:ascii="Times New Roman" w:eastAsia="Times New Roman" w:hAnsi="Times New Roman" w:cs="Times New Roman"/>
          <w:sz w:val="24"/>
          <w:szCs w:val="24"/>
        </w:rPr>
      </w:pPr>
      <w:r>
        <w:br w:type="page"/>
      </w:r>
    </w:p>
    <w:p w14:paraId="0000004C" w14:textId="77777777" w:rsidR="00BF21AC" w:rsidRDefault="00BF21AC">
      <w:pPr>
        <w:spacing w:before="240" w:after="240"/>
        <w:jc w:val="both"/>
        <w:rPr>
          <w:rFonts w:ascii="Times New Roman" w:eastAsia="Times New Roman" w:hAnsi="Times New Roman" w:cs="Times New Roman"/>
          <w:sz w:val="24"/>
          <w:szCs w:val="24"/>
        </w:rPr>
      </w:pPr>
    </w:p>
    <w:p w14:paraId="0000004D" w14:textId="77777777" w:rsidR="00BF21AC" w:rsidRDefault="00460E2B">
      <w:pPr>
        <w:pStyle w:val="Heading1"/>
        <w:numPr>
          <w:ilvl w:val="0"/>
          <w:numId w:val="3"/>
        </w:numPr>
        <w:spacing w:before="240" w:after="0"/>
        <w:jc w:val="both"/>
        <w:rPr>
          <w:rFonts w:ascii="Times New Roman" w:eastAsia="Times New Roman" w:hAnsi="Times New Roman" w:cs="Times New Roman"/>
          <w:b/>
          <w:color w:val="FF0000"/>
          <w:sz w:val="24"/>
          <w:szCs w:val="24"/>
        </w:rPr>
      </w:pPr>
      <w:bookmarkStart w:id="0" w:name="_6hd0hj61ue0i" w:colFirst="0" w:colLast="0"/>
      <w:bookmarkEnd w:id="0"/>
      <w:r>
        <w:rPr>
          <w:rFonts w:ascii="Times New Roman" w:eastAsia="Times New Roman" w:hAnsi="Times New Roman" w:cs="Times New Roman"/>
          <w:b/>
          <w:color w:val="FF0000"/>
          <w:sz w:val="24"/>
          <w:szCs w:val="24"/>
        </w:rPr>
        <w:t xml:space="preserve">Introduction: </w:t>
      </w:r>
    </w:p>
    <w:p w14:paraId="0000004E" w14:textId="77777777" w:rsidR="00BF21AC" w:rsidRDefault="00460E2B">
      <w:pPr>
        <w:numPr>
          <w:ilvl w:val="0"/>
          <w:numId w:val="6"/>
        </w:num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Brazil</w:t>
      </w:r>
    </w:p>
    <w:p w14:paraId="0000004F"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Brazil is the largest nation in South America and a developing nation. Due to the country's vast cultural and biological diversity, tourism is one of Brazil's most important economic industries (Santana 2000). Ecotourism is cited as a determining element f</w:t>
      </w:r>
      <w:r>
        <w:rPr>
          <w:rFonts w:ascii="Times New Roman" w:eastAsia="Times New Roman" w:hAnsi="Times New Roman" w:cs="Times New Roman"/>
          <w:sz w:val="24"/>
          <w:szCs w:val="24"/>
        </w:rPr>
        <w:t>or tourism when 14% of international tourists visit Brazil and the country was valued at $4.2 billion in 2000. (Oliveira 2002).</w:t>
      </w:r>
    </w:p>
    <w:p w14:paraId="00000050"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OECD Library (2020), the tourism sector in Brazil supported 2,1 million jobs in 2018, or 2.5% of all occupation</w:t>
      </w:r>
      <w:r>
        <w:rPr>
          <w:rFonts w:ascii="Times New Roman" w:eastAsia="Times New Roman" w:hAnsi="Times New Roman" w:cs="Times New Roman"/>
          <w:sz w:val="24"/>
          <w:szCs w:val="24"/>
        </w:rPr>
        <w:t xml:space="preserve">s. Consequently, it contributed approximately 3.1% of the nation's GDP. In addition, with the new Argentina-Brazil air route policy, the route consolidates approximately 200 flights per week connecting various tourist sites, resulting in a 30% increase in </w:t>
      </w:r>
      <w:r>
        <w:rPr>
          <w:rFonts w:ascii="Times New Roman" w:eastAsia="Times New Roman" w:hAnsi="Times New Roman" w:cs="Times New Roman"/>
          <w:sz w:val="24"/>
          <w:szCs w:val="24"/>
        </w:rPr>
        <w:t>flight frequency.</w:t>
      </w:r>
    </w:p>
    <w:p w14:paraId="00000051" w14:textId="77777777" w:rsidR="00BF21AC" w:rsidRDefault="00460E2B">
      <w:pPr>
        <w:numPr>
          <w:ilvl w:val="0"/>
          <w:numId w:val="6"/>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Zealand</w:t>
      </w:r>
    </w:p>
    <w:p w14:paraId="00000052"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island nation of NZ is located in the southwestern Pacific Ocean. Due to its advantageous geographical location, most visitors to NZ come to view the country's natural scenery.</w:t>
      </w:r>
    </w:p>
    <w:p w14:paraId="00000053"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2012, the tourist industry represented 7.7% of NZ's gross domestic produ</w:t>
      </w:r>
      <w:r>
        <w:rPr>
          <w:rFonts w:ascii="Times New Roman" w:eastAsia="Times New Roman" w:hAnsi="Times New Roman" w:cs="Times New Roman"/>
          <w:sz w:val="24"/>
          <w:szCs w:val="24"/>
        </w:rPr>
        <w:t>ct and 9.5% of full-time equivalent employment (</w:t>
      </w:r>
      <w:proofErr w:type="spellStart"/>
      <w:r>
        <w:rPr>
          <w:rFonts w:ascii="Times New Roman" w:eastAsia="Times New Roman" w:hAnsi="Times New Roman" w:cs="Times New Roman"/>
          <w:sz w:val="24"/>
          <w:szCs w:val="24"/>
        </w:rPr>
        <w:t>Jaforullah</w:t>
      </w:r>
      <w:proofErr w:type="spellEnd"/>
      <w:r>
        <w:rPr>
          <w:rFonts w:ascii="Times New Roman" w:eastAsia="Times New Roman" w:hAnsi="Times New Roman" w:cs="Times New Roman"/>
          <w:sz w:val="24"/>
          <w:szCs w:val="24"/>
        </w:rPr>
        <w:t xml:space="preserve"> 2015). Consequently, it became the country's top export region in 2010, accounting for 18% of export earnings (Chair, </w:t>
      </w:r>
      <w:proofErr w:type="spellStart"/>
      <w:r>
        <w:rPr>
          <w:rFonts w:ascii="Times New Roman" w:eastAsia="Times New Roman" w:hAnsi="Times New Roman" w:cs="Times New Roman"/>
          <w:sz w:val="24"/>
          <w:szCs w:val="24"/>
        </w:rPr>
        <w:t>Bestwick</w:t>
      </w:r>
      <w:proofErr w:type="spellEnd"/>
      <w:r>
        <w:rPr>
          <w:rFonts w:ascii="Times New Roman" w:eastAsia="Times New Roman" w:hAnsi="Times New Roman" w:cs="Times New Roman"/>
          <w:sz w:val="24"/>
          <w:szCs w:val="24"/>
        </w:rPr>
        <w:t>, and Malloy 2019). In addition, the success of NZ's '100% Pure' market</w:t>
      </w:r>
      <w:r>
        <w:rPr>
          <w:rFonts w:ascii="Times New Roman" w:eastAsia="Times New Roman" w:hAnsi="Times New Roman" w:cs="Times New Roman"/>
          <w:sz w:val="24"/>
          <w:szCs w:val="24"/>
        </w:rPr>
        <w:t>ing campaign in 1999 and the film The Lord of the Rings has helped boost NZ's standing in the tourism business and made it a potential tourist destination with attractive natural landscape (</w:t>
      </w:r>
      <w:proofErr w:type="spellStart"/>
      <w:r>
        <w:rPr>
          <w:rFonts w:ascii="Times New Roman" w:eastAsia="Times New Roman" w:hAnsi="Times New Roman" w:cs="Times New Roman"/>
          <w:sz w:val="24"/>
          <w:szCs w:val="24"/>
        </w:rPr>
        <w:t>Insch</w:t>
      </w:r>
      <w:proofErr w:type="spellEnd"/>
      <w:r>
        <w:rPr>
          <w:rFonts w:ascii="Times New Roman" w:eastAsia="Times New Roman" w:hAnsi="Times New Roman" w:cs="Times New Roman"/>
          <w:sz w:val="24"/>
          <w:szCs w:val="24"/>
        </w:rPr>
        <w:t xml:space="preserve"> 2020).</w:t>
      </w:r>
    </w:p>
    <w:p w14:paraId="00000054" w14:textId="77777777" w:rsidR="00BF21AC" w:rsidRDefault="00460E2B">
      <w:pPr>
        <w:numPr>
          <w:ilvl w:val="0"/>
          <w:numId w:val="6"/>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Collection</w:t>
      </w:r>
    </w:p>
    <w:p w14:paraId="00000055"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consulting World Bank Data, a rep</w:t>
      </w:r>
      <w:r>
        <w:rPr>
          <w:rFonts w:ascii="Times New Roman" w:eastAsia="Times New Roman" w:hAnsi="Times New Roman" w:cs="Times New Roman"/>
          <w:sz w:val="24"/>
          <w:szCs w:val="24"/>
        </w:rPr>
        <w:t xml:space="preserve">utable source, our team was able to successfully collect a vast array of secondary data on tourism growth in Brazil and NZ from 1997 to 2017 for nine variables. We replace missing data by retrieving the most recent year's data. </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4980"/>
        <w:gridCol w:w="3000"/>
      </w:tblGrid>
      <w:tr w:rsidR="00BF21AC" w14:paraId="30DC7713" w14:textId="77777777">
        <w:trPr>
          <w:trHeight w:val="615"/>
        </w:trPr>
        <w:tc>
          <w:tcPr>
            <w:tcW w:w="1020" w:type="dxa"/>
            <w:shd w:val="clear" w:color="auto" w:fill="FF9900"/>
            <w:tcMar>
              <w:top w:w="100" w:type="dxa"/>
              <w:left w:w="100" w:type="dxa"/>
              <w:bottom w:w="100" w:type="dxa"/>
              <w:right w:w="100" w:type="dxa"/>
            </w:tcMar>
          </w:tcPr>
          <w:p w14:paraId="00000056" w14:textId="77777777" w:rsidR="00BF21AC" w:rsidRDefault="00460E2B">
            <w:pPr>
              <w:widowControl w:val="0"/>
              <w:spacing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w:t>
            </w:r>
          </w:p>
        </w:tc>
        <w:tc>
          <w:tcPr>
            <w:tcW w:w="4980" w:type="dxa"/>
            <w:shd w:val="clear" w:color="auto" w:fill="FF9900"/>
            <w:tcMar>
              <w:top w:w="100" w:type="dxa"/>
              <w:left w:w="100" w:type="dxa"/>
              <w:bottom w:w="100" w:type="dxa"/>
              <w:right w:w="100" w:type="dxa"/>
            </w:tcMar>
          </w:tcPr>
          <w:p w14:paraId="00000057" w14:textId="77777777" w:rsidR="00BF21AC" w:rsidRDefault="00460E2B">
            <w:pPr>
              <w:widowControl w:val="0"/>
              <w:spacing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Variable name</w:t>
            </w:r>
          </w:p>
        </w:tc>
        <w:tc>
          <w:tcPr>
            <w:tcW w:w="3000" w:type="dxa"/>
            <w:shd w:val="clear" w:color="auto" w:fill="FF9900"/>
            <w:tcMar>
              <w:top w:w="100" w:type="dxa"/>
              <w:left w:w="100" w:type="dxa"/>
              <w:bottom w:w="100" w:type="dxa"/>
              <w:right w:w="100" w:type="dxa"/>
            </w:tcMar>
          </w:tcPr>
          <w:p w14:paraId="00000058" w14:textId="77777777" w:rsidR="00BF21AC" w:rsidRDefault="00460E2B">
            <w:pPr>
              <w:widowControl w:val="0"/>
              <w:spacing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Unit</w:t>
            </w:r>
          </w:p>
        </w:tc>
      </w:tr>
      <w:tr w:rsidR="00BF21AC" w14:paraId="14D0D1A5" w14:textId="77777777">
        <w:tc>
          <w:tcPr>
            <w:tcW w:w="1020" w:type="dxa"/>
            <w:shd w:val="clear" w:color="auto" w:fill="auto"/>
            <w:tcMar>
              <w:top w:w="100" w:type="dxa"/>
              <w:left w:w="100" w:type="dxa"/>
              <w:bottom w:w="100" w:type="dxa"/>
              <w:right w:w="100" w:type="dxa"/>
            </w:tcMar>
          </w:tcPr>
          <w:p w14:paraId="00000059"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980" w:type="dxa"/>
            <w:shd w:val="clear" w:color="auto" w:fill="auto"/>
            <w:tcMar>
              <w:top w:w="100" w:type="dxa"/>
              <w:left w:w="100" w:type="dxa"/>
              <w:bottom w:w="100" w:type="dxa"/>
              <w:right w:w="100" w:type="dxa"/>
            </w:tcMar>
          </w:tcPr>
          <w:p w14:paraId="0000005A"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nternational tourism expenditure</w:t>
            </w:r>
          </w:p>
        </w:tc>
        <w:tc>
          <w:tcPr>
            <w:tcW w:w="3000" w:type="dxa"/>
            <w:shd w:val="clear" w:color="auto" w:fill="auto"/>
            <w:tcMar>
              <w:top w:w="100" w:type="dxa"/>
              <w:left w:w="100" w:type="dxa"/>
              <w:bottom w:w="100" w:type="dxa"/>
              <w:right w:w="100" w:type="dxa"/>
            </w:tcMar>
          </w:tcPr>
          <w:p w14:paraId="0000005B"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total import</w:t>
            </w:r>
          </w:p>
        </w:tc>
      </w:tr>
      <w:tr w:rsidR="00BF21AC" w14:paraId="2A077432" w14:textId="77777777">
        <w:tc>
          <w:tcPr>
            <w:tcW w:w="1020" w:type="dxa"/>
            <w:shd w:val="clear" w:color="auto" w:fill="auto"/>
            <w:tcMar>
              <w:top w:w="100" w:type="dxa"/>
              <w:left w:w="100" w:type="dxa"/>
              <w:bottom w:w="100" w:type="dxa"/>
              <w:right w:w="100" w:type="dxa"/>
            </w:tcMar>
          </w:tcPr>
          <w:p w14:paraId="0000005C"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4980" w:type="dxa"/>
            <w:shd w:val="clear" w:color="auto" w:fill="auto"/>
            <w:tcMar>
              <w:top w:w="100" w:type="dxa"/>
              <w:left w:w="100" w:type="dxa"/>
              <w:bottom w:w="100" w:type="dxa"/>
              <w:right w:w="100" w:type="dxa"/>
            </w:tcMar>
          </w:tcPr>
          <w:p w14:paraId="0000005D"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GDP per capita growth rate</w:t>
            </w:r>
          </w:p>
        </w:tc>
        <w:tc>
          <w:tcPr>
            <w:tcW w:w="3000" w:type="dxa"/>
            <w:shd w:val="clear" w:color="auto" w:fill="auto"/>
            <w:tcMar>
              <w:top w:w="100" w:type="dxa"/>
              <w:left w:w="100" w:type="dxa"/>
              <w:bottom w:w="100" w:type="dxa"/>
              <w:right w:w="100" w:type="dxa"/>
            </w:tcMar>
          </w:tcPr>
          <w:p w14:paraId="0000005E"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annual %</w:t>
            </w:r>
          </w:p>
        </w:tc>
      </w:tr>
      <w:tr w:rsidR="00BF21AC" w14:paraId="7B01600D" w14:textId="77777777">
        <w:tc>
          <w:tcPr>
            <w:tcW w:w="1020" w:type="dxa"/>
            <w:shd w:val="clear" w:color="auto" w:fill="auto"/>
            <w:tcMar>
              <w:top w:w="100" w:type="dxa"/>
              <w:left w:w="100" w:type="dxa"/>
              <w:bottom w:w="100" w:type="dxa"/>
              <w:right w:w="100" w:type="dxa"/>
            </w:tcMar>
          </w:tcPr>
          <w:p w14:paraId="0000005F"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980" w:type="dxa"/>
            <w:shd w:val="clear" w:color="auto" w:fill="auto"/>
            <w:tcMar>
              <w:top w:w="100" w:type="dxa"/>
              <w:left w:w="100" w:type="dxa"/>
              <w:bottom w:w="100" w:type="dxa"/>
              <w:right w:w="100" w:type="dxa"/>
            </w:tcMar>
          </w:tcPr>
          <w:p w14:paraId="00000060"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Foreign direct investment, net inflow</w:t>
            </w:r>
          </w:p>
        </w:tc>
        <w:tc>
          <w:tcPr>
            <w:tcW w:w="3000" w:type="dxa"/>
            <w:shd w:val="clear" w:color="auto" w:fill="auto"/>
            <w:tcMar>
              <w:top w:w="100" w:type="dxa"/>
              <w:left w:w="100" w:type="dxa"/>
              <w:bottom w:w="100" w:type="dxa"/>
              <w:right w:w="100" w:type="dxa"/>
            </w:tcMar>
          </w:tcPr>
          <w:p w14:paraId="00000061"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GDP</w:t>
            </w:r>
          </w:p>
        </w:tc>
      </w:tr>
      <w:tr w:rsidR="00BF21AC" w14:paraId="7ECED445" w14:textId="77777777">
        <w:tc>
          <w:tcPr>
            <w:tcW w:w="1020" w:type="dxa"/>
            <w:shd w:val="clear" w:color="auto" w:fill="auto"/>
            <w:tcMar>
              <w:top w:w="100" w:type="dxa"/>
              <w:left w:w="100" w:type="dxa"/>
              <w:bottom w:w="100" w:type="dxa"/>
              <w:right w:w="100" w:type="dxa"/>
            </w:tcMar>
          </w:tcPr>
          <w:p w14:paraId="00000062"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980" w:type="dxa"/>
            <w:shd w:val="clear" w:color="auto" w:fill="auto"/>
            <w:tcMar>
              <w:top w:w="100" w:type="dxa"/>
              <w:left w:w="100" w:type="dxa"/>
              <w:bottom w:w="100" w:type="dxa"/>
              <w:right w:w="100" w:type="dxa"/>
            </w:tcMar>
          </w:tcPr>
          <w:p w14:paraId="00000063"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Adjusted net national income</w:t>
            </w:r>
          </w:p>
        </w:tc>
        <w:tc>
          <w:tcPr>
            <w:tcW w:w="3000" w:type="dxa"/>
            <w:shd w:val="clear" w:color="auto" w:fill="auto"/>
            <w:tcMar>
              <w:top w:w="100" w:type="dxa"/>
              <w:left w:w="100" w:type="dxa"/>
              <w:bottom w:w="100" w:type="dxa"/>
              <w:right w:w="100" w:type="dxa"/>
            </w:tcMar>
          </w:tcPr>
          <w:p w14:paraId="00000064"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annual % growth</w:t>
            </w:r>
          </w:p>
        </w:tc>
      </w:tr>
      <w:tr w:rsidR="00BF21AC" w14:paraId="5FB25D84" w14:textId="77777777">
        <w:tc>
          <w:tcPr>
            <w:tcW w:w="1020" w:type="dxa"/>
            <w:shd w:val="clear" w:color="auto" w:fill="auto"/>
            <w:tcMar>
              <w:top w:w="100" w:type="dxa"/>
              <w:left w:w="100" w:type="dxa"/>
              <w:bottom w:w="100" w:type="dxa"/>
              <w:right w:w="100" w:type="dxa"/>
            </w:tcMar>
          </w:tcPr>
          <w:p w14:paraId="00000065"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980" w:type="dxa"/>
            <w:shd w:val="clear" w:color="auto" w:fill="auto"/>
            <w:tcMar>
              <w:top w:w="100" w:type="dxa"/>
              <w:left w:w="100" w:type="dxa"/>
              <w:bottom w:w="100" w:type="dxa"/>
              <w:right w:w="100" w:type="dxa"/>
            </w:tcMar>
          </w:tcPr>
          <w:p w14:paraId="00000066"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Tourism policy</w:t>
            </w:r>
          </w:p>
        </w:tc>
        <w:tc>
          <w:tcPr>
            <w:tcW w:w="3000" w:type="dxa"/>
            <w:shd w:val="clear" w:color="auto" w:fill="auto"/>
            <w:tcMar>
              <w:top w:w="100" w:type="dxa"/>
              <w:left w:w="100" w:type="dxa"/>
              <w:bottom w:w="100" w:type="dxa"/>
              <w:right w:w="100" w:type="dxa"/>
            </w:tcMar>
          </w:tcPr>
          <w:p w14:paraId="00000067"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tourist, number of arrivals</w:t>
            </w:r>
          </w:p>
        </w:tc>
      </w:tr>
      <w:tr w:rsidR="00BF21AC" w14:paraId="58BA73EF" w14:textId="77777777">
        <w:tc>
          <w:tcPr>
            <w:tcW w:w="1020" w:type="dxa"/>
            <w:shd w:val="clear" w:color="auto" w:fill="auto"/>
            <w:tcMar>
              <w:top w:w="100" w:type="dxa"/>
              <w:left w:w="100" w:type="dxa"/>
              <w:bottom w:w="100" w:type="dxa"/>
              <w:right w:w="100" w:type="dxa"/>
            </w:tcMar>
          </w:tcPr>
          <w:p w14:paraId="00000068"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980" w:type="dxa"/>
            <w:shd w:val="clear" w:color="auto" w:fill="auto"/>
            <w:tcMar>
              <w:top w:w="100" w:type="dxa"/>
              <w:left w:w="100" w:type="dxa"/>
              <w:bottom w:w="100" w:type="dxa"/>
              <w:right w:w="100" w:type="dxa"/>
            </w:tcMar>
          </w:tcPr>
          <w:p w14:paraId="00000069"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CO2 emissions from transport</w:t>
            </w:r>
          </w:p>
        </w:tc>
        <w:tc>
          <w:tcPr>
            <w:tcW w:w="3000" w:type="dxa"/>
            <w:shd w:val="clear" w:color="auto" w:fill="auto"/>
            <w:tcMar>
              <w:top w:w="100" w:type="dxa"/>
              <w:left w:w="100" w:type="dxa"/>
              <w:bottom w:w="100" w:type="dxa"/>
              <w:right w:w="100" w:type="dxa"/>
            </w:tcMar>
          </w:tcPr>
          <w:p w14:paraId="0000006A"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total fuel combustion</w:t>
            </w:r>
          </w:p>
        </w:tc>
      </w:tr>
      <w:tr w:rsidR="00BF21AC" w14:paraId="03FE6FA5" w14:textId="77777777">
        <w:tc>
          <w:tcPr>
            <w:tcW w:w="1020" w:type="dxa"/>
            <w:shd w:val="clear" w:color="auto" w:fill="auto"/>
            <w:tcMar>
              <w:top w:w="100" w:type="dxa"/>
              <w:left w:w="100" w:type="dxa"/>
              <w:bottom w:w="100" w:type="dxa"/>
              <w:right w:w="100" w:type="dxa"/>
            </w:tcMar>
          </w:tcPr>
          <w:p w14:paraId="0000006B"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980" w:type="dxa"/>
            <w:shd w:val="clear" w:color="auto" w:fill="auto"/>
            <w:tcMar>
              <w:top w:w="100" w:type="dxa"/>
              <w:left w:w="100" w:type="dxa"/>
              <w:bottom w:w="100" w:type="dxa"/>
              <w:right w:w="100" w:type="dxa"/>
            </w:tcMar>
          </w:tcPr>
          <w:p w14:paraId="0000006C"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Methane emissions</w:t>
            </w:r>
          </w:p>
        </w:tc>
        <w:tc>
          <w:tcPr>
            <w:tcW w:w="3000" w:type="dxa"/>
            <w:shd w:val="clear" w:color="auto" w:fill="auto"/>
            <w:tcMar>
              <w:top w:w="100" w:type="dxa"/>
              <w:left w:w="100" w:type="dxa"/>
              <w:bottom w:w="100" w:type="dxa"/>
              <w:right w:w="100" w:type="dxa"/>
            </w:tcMar>
          </w:tcPr>
          <w:p w14:paraId="0000006D"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from 1990</w:t>
            </w:r>
          </w:p>
        </w:tc>
      </w:tr>
      <w:tr w:rsidR="00BF21AC" w14:paraId="530DBBEC" w14:textId="77777777">
        <w:tc>
          <w:tcPr>
            <w:tcW w:w="1020" w:type="dxa"/>
            <w:shd w:val="clear" w:color="auto" w:fill="auto"/>
            <w:tcMar>
              <w:top w:w="100" w:type="dxa"/>
              <w:left w:w="100" w:type="dxa"/>
              <w:bottom w:w="100" w:type="dxa"/>
              <w:right w:w="100" w:type="dxa"/>
            </w:tcMar>
          </w:tcPr>
          <w:p w14:paraId="0000006E"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980" w:type="dxa"/>
            <w:shd w:val="clear" w:color="auto" w:fill="auto"/>
            <w:tcMar>
              <w:top w:w="100" w:type="dxa"/>
              <w:left w:w="100" w:type="dxa"/>
              <w:bottom w:w="100" w:type="dxa"/>
              <w:right w:w="100" w:type="dxa"/>
            </w:tcMar>
          </w:tcPr>
          <w:p w14:paraId="0000006F"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Nitrous oxide emissions</w:t>
            </w:r>
          </w:p>
        </w:tc>
        <w:tc>
          <w:tcPr>
            <w:tcW w:w="3000" w:type="dxa"/>
            <w:shd w:val="clear" w:color="auto" w:fill="auto"/>
            <w:tcMar>
              <w:top w:w="100" w:type="dxa"/>
              <w:left w:w="100" w:type="dxa"/>
              <w:bottom w:w="100" w:type="dxa"/>
              <w:right w:w="100" w:type="dxa"/>
            </w:tcMar>
          </w:tcPr>
          <w:p w14:paraId="00000070"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from 1990</w:t>
            </w:r>
          </w:p>
        </w:tc>
      </w:tr>
      <w:tr w:rsidR="00BF21AC" w14:paraId="50EF224D" w14:textId="77777777">
        <w:tc>
          <w:tcPr>
            <w:tcW w:w="1020" w:type="dxa"/>
            <w:shd w:val="clear" w:color="auto" w:fill="auto"/>
            <w:tcMar>
              <w:top w:w="100" w:type="dxa"/>
              <w:left w:w="100" w:type="dxa"/>
              <w:bottom w:w="100" w:type="dxa"/>
              <w:right w:w="100" w:type="dxa"/>
            </w:tcMar>
          </w:tcPr>
          <w:p w14:paraId="00000071"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980" w:type="dxa"/>
            <w:shd w:val="clear" w:color="auto" w:fill="auto"/>
            <w:tcMar>
              <w:top w:w="100" w:type="dxa"/>
              <w:left w:w="100" w:type="dxa"/>
              <w:bottom w:w="100" w:type="dxa"/>
              <w:right w:w="100" w:type="dxa"/>
            </w:tcMar>
          </w:tcPr>
          <w:p w14:paraId="00000072"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Inflation, consumer prices</w:t>
            </w:r>
          </w:p>
        </w:tc>
        <w:tc>
          <w:tcPr>
            <w:tcW w:w="3000" w:type="dxa"/>
            <w:shd w:val="clear" w:color="auto" w:fill="auto"/>
            <w:tcMar>
              <w:top w:w="100" w:type="dxa"/>
              <w:left w:w="100" w:type="dxa"/>
              <w:bottom w:w="100" w:type="dxa"/>
              <w:right w:w="100" w:type="dxa"/>
            </w:tcMar>
          </w:tcPr>
          <w:p w14:paraId="00000073" w14:textId="77777777" w:rsidR="00BF21AC" w:rsidRDefault="00460E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annual %</w:t>
            </w:r>
          </w:p>
        </w:tc>
      </w:tr>
    </w:tbl>
    <w:p w14:paraId="00000074"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 1</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list</w:t>
      </w:r>
    </w:p>
    <w:p w14:paraId="00000075"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examine some missing information: </w:t>
      </w:r>
    </w:p>
    <w:p w14:paraId="00000076"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countries lack data for variable methane emissions from 2012 to 2017, so we use the data from 2011 instead. </w:t>
      </w:r>
    </w:p>
    <w:p w14:paraId="00000077"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since there are some data missing for the years 1997 to 2000 for NZ's i</w:t>
      </w:r>
      <w:r>
        <w:rPr>
          <w:rFonts w:ascii="Times New Roman" w:eastAsia="Times New Roman" w:hAnsi="Times New Roman" w:cs="Times New Roman"/>
          <w:sz w:val="24"/>
          <w:szCs w:val="24"/>
        </w:rPr>
        <w:t>nternational tourism expenditures, we use data from 2001.</w:t>
      </w:r>
    </w:p>
    <w:p w14:paraId="00000078" w14:textId="77777777" w:rsidR="00BF21AC" w:rsidRDefault="00BF21AC">
      <w:pPr>
        <w:spacing w:before="240" w:after="240"/>
        <w:jc w:val="both"/>
        <w:rPr>
          <w:rFonts w:ascii="Times New Roman" w:eastAsia="Times New Roman" w:hAnsi="Times New Roman" w:cs="Times New Roman"/>
          <w:sz w:val="24"/>
          <w:szCs w:val="24"/>
        </w:rPr>
      </w:pPr>
    </w:p>
    <w:p w14:paraId="00000079" w14:textId="77777777" w:rsidR="00BF21AC" w:rsidRDefault="00460E2B">
      <w:pPr>
        <w:pStyle w:val="Heading1"/>
        <w:spacing w:before="240" w:after="240"/>
        <w:jc w:val="both"/>
        <w:rPr>
          <w:rFonts w:ascii="Times New Roman" w:eastAsia="Times New Roman" w:hAnsi="Times New Roman" w:cs="Times New Roman"/>
          <w:b/>
          <w:color w:val="FF0000"/>
          <w:sz w:val="24"/>
          <w:szCs w:val="24"/>
        </w:rPr>
      </w:pPr>
      <w:bookmarkStart w:id="1" w:name="_3evk43sb5jwx" w:colFirst="0" w:colLast="0"/>
      <w:bookmarkEnd w:id="1"/>
      <w:r>
        <w:rPr>
          <w:rFonts w:ascii="Times New Roman" w:eastAsia="Times New Roman" w:hAnsi="Times New Roman" w:cs="Times New Roman"/>
          <w:b/>
          <w:color w:val="FF0000"/>
          <w:sz w:val="24"/>
          <w:szCs w:val="24"/>
        </w:rPr>
        <w:t>II. Descriptive Statistics:</w:t>
      </w:r>
    </w:p>
    <w:tbl>
      <w:tblPr>
        <w:tblStyle w:val="a1"/>
        <w:tblW w:w="9225" w:type="dxa"/>
        <w:tblInd w:w="-330" w:type="dxa"/>
        <w:tblBorders>
          <w:top w:val="nil"/>
          <w:left w:val="nil"/>
          <w:bottom w:val="nil"/>
          <w:right w:val="nil"/>
          <w:insideH w:val="nil"/>
          <w:insideV w:val="nil"/>
        </w:tblBorders>
        <w:tblLayout w:type="fixed"/>
        <w:tblLook w:val="0600" w:firstRow="0" w:lastRow="0" w:firstColumn="0" w:lastColumn="0" w:noHBand="1" w:noVBand="1"/>
      </w:tblPr>
      <w:tblGrid>
        <w:gridCol w:w="2520"/>
        <w:gridCol w:w="3630"/>
        <w:gridCol w:w="3075"/>
      </w:tblGrid>
      <w:tr w:rsidR="00BF21AC" w14:paraId="0103CE73" w14:textId="77777777">
        <w:trPr>
          <w:trHeight w:val="300"/>
          <w:tblHeader/>
        </w:trPr>
        <w:tc>
          <w:tcPr>
            <w:tcW w:w="25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7A" w14:textId="77777777" w:rsidR="00BF21AC" w:rsidRDefault="00BF21AC">
            <w:pPr>
              <w:widowControl w:val="0"/>
              <w:jc w:val="both"/>
              <w:rPr>
                <w:rFonts w:ascii="Times New Roman" w:eastAsia="Times New Roman" w:hAnsi="Times New Roman" w:cs="Times New Roman"/>
                <w:sz w:val="24"/>
                <w:szCs w:val="24"/>
              </w:rPr>
            </w:pPr>
          </w:p>
        </w:tc>
        <w:tc>
          <w:tcPr>
            <w:tcW w:w="363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7B"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Brazil</w:t>
            </w:r>
          </w:p>
        </w:tc>
        <w:tc>
          <w:tcPr>
            <w:tcW w:w="307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7C"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NZ</w:t>
            </w:r>
          </w:p>
        </w:tc>
      </w:tr>
      <w:tr w:rsidR="00BF21AC" w14:paraId="0A13C987"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7D"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7E"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7.07</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7F"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7.58</w:t>
            </w:r>
          </w:p>
        </w:tc>
      </w:tr>
      <w:tr w:rsidR="00BF21AC" w14:paraId="3426F8EA"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80"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1"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7.40</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2"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7.56</w:t>
            </w:r>
          </w:p>
        </w:tc>
      </w:tr>
      <w:tr w:rsidR="00BF21AC" w14:paraId="5628092D"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83"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4"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9.85</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5"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8.34</w:t>
            </w:r>
          </w:p>
        </w:tc>
      </w:tr>
      <w:tr w:rsidR="00BF21AC" w14:paraId="58F4F593"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86"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7"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4.49</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8"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6.88</w:t>
            </w:r>
          </w:p>
        </w:tc>
      </w:tr>
      <w:tr w:rsidR="00BF21AC" w14:paraId="487DF20D" w14:textId="77777777">
        <w:trPr>
          <w:trHeight w:val="36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89"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 Deviation</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A"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1.64</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B"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r>
      <w:tr w:rsidR="00BF21AC" w14:paraId="22BBBAE9" w14:textId="77777777">
        <w:trPr>
          <w:trHeight w:val="33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8C"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Coefficient of Variation</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D"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8E"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r>
      <w:tr w:rsidR="00BF21AC" w14:paraId="16FE3C7C"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8F"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Q1</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90"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6.02</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91"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7.26</w:t>
            </w:r>
          </w:p>
        </w:tc>
      </w:tr>
      <w:tr w:rsidR="00BF21AC" w14:paraId="32633199"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92"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Q3</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93"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8.37</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94"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7.81</w:t>
            </w:r>
          </w:p>
        </w:tc>
      </w:tr>
      <w:tr w:rsidR="00BF21AC" w14:paraId="2272782D" w14:textId="77777777">
        <w:trPr>
          <w:trHeight w:val="300"/>
          <w:tblHeader/>
        </w:trPr>
        <w:tc>
          <w:tcPr>
            <w:tcW w:w="25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95"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IQR</w:t>
            </w:r>
          </w:p>
        </w:tc>
        <w:tc>
          <w:tcPr>
            <w:tcW w:w="36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96"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30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000097"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r>
    </w:tbl>
    <w:p w14:paraId="00000098" w14:textId="77777777" w:rsidR="00BF21AC" w:rsidRDefault="00BF21AC">
      <w:pPr>
        <w:spacing w:before="240" w:after="240"/>
        <w:jc w:val="both"/>
        <w:rPr>
          <w:rFonts w:ascii="Times New Roman" w:eastAsia="Times New Roman" w:hAnsi="Times New Roman" w:cs="Times New Roman"/>
          <w:b/>
          <w:sz w:val="24"/>
          <w:szCs w:val="24"/>
        </w:rPr>
      </w:pPr>
    </w:p>
    <w:tbl>
      <w:tblPr>
        <w:tblStyle w:val="a2"/>
        <w:tblW w:w="9300" w:type="dxa"/>
        <w:tblBorders>
          <w:top w:val="nil"/>
          <w:left w:val="nil"/>
          <w:bottom w:val="nil"/>
          <w:right w:val="nil"/>
          <w:insideH w:val="nil"/>
          <w:insideV w:val="nil"/>
        </w:tblBorders>
        <w:tblLayout w:type="fixed"/>
        <w:tblLook w:val="0600" w:firstRow="0" w:lastRow="0" w:firstColumn="0" w:lastColumn="0" w:noHBand="1" w:noVBand="1"/>
      </w:tblPr>
      <w:tblGrid>
        <w:gridCol w:w="1125"/>
        <w:gridCol w:w="1290"/>
        <w:gridCol w:w="1425"/>
        <w:gridCol w:w="750"/>
        <w:gridCol w:w="1305"/>
        <w:gridCol w:w="1365"/>
        <w:gridCol w:w="780"/>
        <w:gridCol w:w="1260"/>
      </w:tblGrid>
      <w:tr w:rsidR="00BF21AC" w14:paraId="1C7915AA" w14:textId="77777777">
        <w:trPr>
          <w:trHeight w:val="300"/>
          <w:tblHeader/>
        </w:trPr>
        <w:tc>
          <w:tcPr>
            <w:tcW w:w="1125" w:type="dxa"/>
            <w:tcBorders>
              <w:top w:val="single" w:sz="6" w:space="0" w:color="000000"/>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099" w14:textId="77777777" w:rsidR="00BF21AC" w:rsidRDefault="00BF21AC">
            <w:pPr>
              <w:widowControl w:val="0"/>
              <w:jc w:val="both"/>
              <w:rPr>
                <w:rFonts w:ascii="Times New Roman" w:eastAsia="Times New Roman" w:hAnsi="Times New Roman" w:cs="Times New Roman"/>
                <w:sz w:val="24"/>
                <w:szCs w:val="24"/>
              </w:rPr>
            </w:pPr>
          </w:p>
        </w:tc>
        <w:tc>
          <w:tcPr>
            <w:tcW w:w="1290" w:type="dxa"/>
            <w:tcBorders>
              <w:top w:val="single" w:sz="6" w:space="0" w:color="000000"/>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9A"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Upper Limit</w:t>
            </w:r>
          </w:p>
        </w:tc>
        <w:tc>
          <w:tcPr>
            <w:tcW w:w="1425" w:type="dxa"/>
            <w:tcBorders>
              <w:top w:val="single" w:sz="6" w:space="0" w:color="000000"/>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09B"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w:t>
            </w:r>
          </w:p>
        </w:tc>
        <w:tc>
          <w:tcPr>
            <w:tcW w:w="750" w:type="dxa"/>
            <w:tcBorders>
              <w:top w:val="single" w:sz="6" w:space="0" w:color="000000"/>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9C"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305" w:type="dxa"/>
            <w:tcBorders>
              <w:top w:val="single" w:sz="6" w:space="0" w:color="000000"/>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9D"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Lower Limit</w:t>
            </w:r>
          </w:p>
        </w:tc>
        <w:tc>
          <w:tcPr>
            <w:tcW w:w="1365" w:type="dxa"/>
            <w:tcBorders>
              <w:top w:val="single" w:sz="6" w:space="0" w:color="000000"/>
              <w:left w:val="single" w:sz="6" w:space="0" w:color="000000"/>
              <w:bottom w:val="single" w:sz="6" w:space="0" w:color="000000"/>
              <w:right w:val="single" w:sz="6" w:space="0" w:color="000000"/>
            </w:tcBorders>
            <w:shd w:val="clear" w:color="auto" w:fill="FFF2CC"/>
            <w:tcMar>
              <w:top w:w="0" w:type="dxa"/>
              <w:left w:w="40" w:type="dxa"/>
              <w:bottom w:w="0" w:type="dxa"/>
              <w:right w:w="40" w:type="dxa"/>
            </w:tcMar>
            <w:vAlign w:val="bottom"/>
          </w:tcPr>
          <w:p w14:paraId="0000009E"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w:t>
            </w:r>
          </w:p>
        </w:tc>
        <w:tc>
          <w:tcPr>
            <w:tcW w:w="780" w:type="dxa"/>
            <w:tcBorders>
              <w:top w:val="single" w:sz="6" w:space="0" w:color="000000"/>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9F"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w:t>
            </w:r>
          </w:p>
        </w:tc>
        <w:tc>
          <w:tcPr>
            <w:tcW w:w="1260" w:type="dxa"/>
            <w:tcBorders>
              <w:top w:val="single" w:sz="6" w:space="0" w:color="000000"/>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0"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Outliers</w:t>
            </w:r>
          </w:p>
        </w:tc>
      </w:tr>
      <w:tr w:rsidR="00BF21AC" w14:paraId="6C40E0E3" w14:textId="77777777">
        <w:trPr>
          <w:trHeight w:val="300"/>
        </w:trPr>
        <w:tc>
          <w:tcPr>
            <w:tcW w:w="1125" w:type="dxa"/>
            <w:tcBorders>
              <w:top w:val="single" w:sz="6" w:space="0" w:color="CCCCCC"/>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0A1"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Brazil</w:t>
            </w:r>
          </w:p>
        </w:tc>
        <w:tc>
          <w:tcPr>
            <w:tcW w:w="1290" w:type="dxa"/>
            <w:tcBorders>
              <w:top w:val="single" w:sz="6" w:space="0" w:color="CCCCCC"/>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A2"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11.89</w:t>
            </w:r>
          </w:p>
        </w:tc>
        <w:tc>
          <w:tcPr>
            <w:tcW w:w="1425" w:type="dxa"/>
            <w:tcBorders>
              <w:top w:val="single" w:sz="6" w:space="0" w:color="CCCCCC"/>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A3"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750" w:type="dxa"/>
            <w:tcBorders>
              <w:top w:val="single" w:sz="6" w:space="0" w:color="CCCCCC"/>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A4"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9.85</w:t>
            </w:r>
          </w:p>
        </w:tc>
        <w:tc>
          <w:tcPr>
            <w:tcW w:w="1305"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5"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365"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6"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780"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7"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4.49</w:t>
            </w:r>
          </w:p>
        </w:tc>
        <w:tc>
          <w:tcPr>
            <w:tcW w:w="1260"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8"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F21AC" w14:paraId="10006545" w14:textId="77777777">
        <w:trPr>
          <w:trHeight w:val="300"/>
        </w:trPr>
        <w:tc>
          <w:tcPr>
            <w:tcW w:w="1125" w:type="dxa"/>
            <w:tcBorders>
              <w:top w:val="single" w:sz="6" w:space="0" w:color="000000"/>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0A9" w14:textId="77777777" w:rsidR="00BF21AC" w:rsidRDefault="00460E2B">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New Zealand</w:t>
            </w:r>
          </w:p>
        </w:tc>
        <w:tc>
          <w:tcPr>
            <w:tcW w:w="1290" w:type="dxa"/>
            <w:tcBorders>
              <w:top w:val="single" w:sz="6" w:space="0" w:color="CCCCCC"/>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AA"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8.64</w:t>
            </w:r>
          </w:p>
        </w:tc>
        <w:tc>
          <w:tcPr>
            <w:tcW w:w="1425" w:type="dxa"/>
            <w:tcBorders>
              <w:top w:val="single" w:sz="6" w:space="0" w:color="CCCCCC"/>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AB"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750" w:type="dxa"/>
            <w:tcBorders>
              <w:top w:val="single" w:sz="6" w:space="0" w:color="CCCCCC"/>
              <w:left w:val="single" w:sz="6" w:space="0" w:color="CCCCCC"/>
              <w:bottom w:val="single" w:sz="6" w:space="0" w:color="000000"/>
              <w:right w:val="single" w:sz="6" w:space="0" w:color="000000"/>
            </w:tcBorders>
            <w:shd w:val="clear" w:color="auto" w:fill="C9DAF8"/>
            <w:tcMar>
              <w:top w:w="0" w:type="dxa"/>
              <w:left w:w="40" w:type="dxa"/>
              <w:bottom w:w="0" w:type="dxa"/>
              <w:right w:w="40" w:type="dxa"/>
            </w:tcMar>
            <w:vAlign w:val="bottom"/>
          </w:tcPr>
          <w:p w14:paraId="000000AC"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8.34</w:t>
            </w:r>
          </w:p>
        </w:tc>
        <w:tc>
          <w:tcPr>
            <w:tcW w:w="1305"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D"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w:t>
            </w:r>
          </w:p>
        </w:tc>
        <w:tc>
          <w:tcPr>
            <w:tcW w:w="1365"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E"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780"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AF"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6.88</w:t>
            </w:r>
          </w:p>
        </w:tc>
        <w:tc>
          <w:tcPr>
            <w:tcW w:w="1260" w:type="dxa"/>
            <w:tcBorders>
              <w:top w:val="single" w:sz="6" w:space="0" w:color="CCCCCC"/>
              <w:left w:val="single" w:sz="6" w:space="0" w:color="CCCCCC"/>
              <w:bottom w:val="single" w:sz="6" w:space="0" w:color="000000"/>
              <w:right w:val="single" w:sz="6" w:space="0" w:color="000000"/>
            </w:tcBorders>
            <w:shd w:val="clear" w:color="auto" w:fill="FFF2CC"/>
            <w:tcMar>
              <w:top w:w="0" w:type="dxa"/>
              <w:left w:w="40" w:type="dxa"/>
              <w:bottom w:w="0" w:type="dxa"/>
              <w:right w:w="40" w:type="dxa"/>
            </w:tcMar>
            <w:vAlign w:val="bottom"/>
          </w:tcPr>
          <w:p w14:paraId="000000B0" w14:textId="77777777" w:rsidR="00BF21AC" w:rsidRDefault="00460E2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000000B1"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 2</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Table of descriptive statistics for ITE of Brazil and New Zealand from 1997 to 2017</w:t>
      </w:r>
    </w:p>
    <w:p w14:paraId="000000B2" w14:textId="77777777" w:rsidR="00BF21AC" w:rsidRDefault="00460E2B">
      <w:pPr>
        <w:pStyle w:val="Heading2"/>
        <w:numPr>
          <w:ilvl w:val="0"/>
          <w:numId w:val="2"/>
        </w:numPr>
        <w:spacing w:before="240" w:after="240"/>
        <w:jc w:val="both"/>
        <w:rPr>
          <w:rFonts w:ascii="Times New Roman" w:eastAsia="Times New Roman" w:hAnsi="Times New Roman" w:cs="Times New Roman"/>
          <w:b/>
          <w:sz w:val="24"/>
          <w:szCs w:val="24"/>
        </w:rPr>
      </w:pPr>
      <w:bookmarkStart w:id="2" w:name="_l24ydyv80ch4" w:colFirst="0" w:colLast="0"/>
      <w:bookmarkEnd w:id="2"/>
      <w:r>
        <w:rPr>
          <w:rFonts w:ascii="Times New Roman" w:eastAsia="Times New Roman" w:hAnsi="Times New Roman" w:cs="Times New Roman"/>
          <w:b/>
          <w:sz w:val="24"/>
          <w:szCs w:val="24"/>
        </w:rPr>
        <w:t>Measure of central tendency</w:t>
      </w:r>
    </w:p>
    <w:p w14:paraId="000000B3"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data are represented as multiple values, mode cannot be used to calculate central tendency (Statistics Canada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According to table 1,</w:t>
      </w:r>
      <w:r>
        <w:rPr>
          <w:rFonts w:ascii="Times New Roman" w:eastAsia="Times New Roman" w:hAnsi="Times New Roman" w:cs="Times New Roman"/>
          <w:sz w:val="24"/>
          <w:szCs w:val="24"/>
        </w:rPr>
        <w:t xml:space="preserve"> NZ ranks higher than Brazil in terms of Mean and Median. In this situation, the median is the appropriate measure of central tendency, as it accounts for two-fifths of the observed data set. Additionally, the median is less likely to be influenced by outl</w:t>
      </w:r>
      <w:r>
        <w:rPr>
          <w:rFonts w:ascii="Times New Roman" w:eastAsia="Times New Roman" w:hAnsi="Times New Roman" w:cs="Times New Roman"/>
          <w:sz w:val="24"/>
          <w:szCs w:val="24"/>
        </w:rPr>
        <w:t>iers or skewed data (S. Manikandan et al, 2011). During the examined period, 50% of NZ’s ITE experienced a growth rate of 7.58 %, compared to 7.07% for Brazil. In contrast, Brazil recorded the highest rate of TG in 2017 at 9.85%, while NZ’s highest rate in</w:t>
      </w:r>
      <w:r>
        <w:rPr>
          <w:rFonts w:ascii="Times New Roman" w:eastAsia="Times New Roman" w:hAnsi="Times New Roman" w:cs="Times New Roman"/>
          <w:sz w:val="24"/>
          <w:szCs w:val="24"/>
        </w:rPr>
        <w:t xml:space="preserve"> 2016 was only 8.35%.</w:t>
      </w:r>
    </w:p>
    <w:p w14:paraId="000000B4" w14:textId="77777777" w:rsidR="00BF21AC" w:rsidRDefault="00460E2B">
      <w:pPr>
        <w:pStyle w:val="Heading2"/>
        <w:numPr>
          <w:ilvl w:val="0"/>
          <w:numId w:val="2"/>
        </w:numPr>
        <w:spacing w:before="240" w:after="240"/>
        <w:jc w:val="both"/>
        <w:rPr>
          <w:rFonts w:ascii="Times New Roman" w:eastAsia="Times New Roman" w:hAnsi="Times New Roman" w:cs="Times New Roman"/>
          <w:b/>
          <w:sz w:val="24"/>
          <w:szCs w:val="24"/>
        </w:rPr>
      </w:pPr>
      <w:bookmarkStart w:id="3" w:name="_xplo2ia9jbr3" w:colFirst="0" w:colLast="0"/>
      <w:bookmarkEnd w:id="3"/>
      <w:r>
        <w:rPr>
          <w:rFonts w:ascii="Times New Roman" w:eastAsia="Times New Roman" w:hAnsi="Times New Roman" w:cs="Times New Roman"/>
          <w:b/>
          <w:sz w:val="24"/>
          <w:szCs w:val="24"/>
        </w:rPr>
        <w:t>Measure of variation</w:t>
      </w:r>
    </w:p>
    <w:p w14:paraId="000000B5" w14:textId="77777777" w:rsidR="00BF21AC" w:rsidRDefault="00460E2B">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There are 5 measures of variation, but IQR would be the optimal measure of variation because it accounts for 50% of data points that fall between the first and third quartiles and is less sensitive to outliers bec</w:t>
      </w:r>
      <w:r>
        <w:rPr>
          <w:rFonts w:ascii="Times New Roman" w:eastAsia="Times New Roman" w:hAnsi="Times New Roman" w:cs="Times New Roman"/>
          <w:sz w:val="24"/>
          <w:szCs w:val="24"/>
        </w:rPr>
        <w:t xml:space="preserve">ause it is not dependent on all values (Jim Frost </w:t>
      </w:r>
      <w:proofErr w:type="spellStart"/>
      <w:r>
        <w:rPr>
          <w:rFonts w:ascii="Times New Roman" w:eastAsia="Times New Roman" w:hAnsi="Times New Roman" w:cs="Times New Roman"/>
          <w:sz w:val="24"/>
          <w:szCs w:val="24"/>
        </w:rPr>
        <w:t>el</w:t>
      </w:r>
      <w:proofErr w:type="spellEnd"/>
      <w:r>
        <w:rPr>
          <w:rFonts w:ascii="Times New Roman" w:eastAsia="Times New Roman" w:hAnsi="Times New Roman" w:cs="Times New Roman"/>
          <w:sz w:val="24"/>
          <w:szCs w:val="24"/>
        </w:rPr>
        <w:t xml:space="preserve"> al). In table 1, Brazil's IQR is 2.35%, while NZ rate is 0.55%, indicating that NZ data points are closer to the median.</w:t>
      </w:r>
      <w:r>
        <w:rPr>
          <w:rFonts w:ascii="Times New Roman" w:eastAsia="Times New Roman" w:hAnsi="Times New Roman" w:cs="Times New Roman"/>
          <w:b/>
          <w:sz w:val="24"/>
          <w:szCs w:val="24"/>
        </w:rPr>
        <w:tab/>
      </w:r>
    </w:p>
    <w:p w14:paraId="000000B6" w14:textId="77777777" w:rsidR="00BF21AC" w:rsidRDefault="00460E2B">
      <w:pPr>
        <w:pStyle w:val="Heading2"/>
        <w:numPr>
          <w:ilvl w:val="0"/>
          <w:numId w:val="2"/>
        </w:numPr>
        <w:spacing w:before="240" w:after="240"/>
        <w:jc w:val="both"/>
        <w:rPr>
          <w:rFonts w:ascii="Times New Roman" w:eastAsia="Times New Roman" w:hAnsi="Times New Roman" w:cs="Times New Roman"/>
          <w:b/>
          <w:sz w:val="24"/>
          <w:szCs w:val="24"/>
        </w:rPr>
      </w:pPr>
      <w:bookmarkStart w:id="4" w:name="_hco5jlu2t03f" w:colFirst="0" w:colLast="0"/>
      <w:bookmarkEnd w:id="4"/>
      <w:r>
        <w:rPr>
          <w:rFonts w:ascii="Times New Roman" w:eastAsia="Times New Roman" w:hAnsi="Times New Roman" w:cs="Times New Roman"/>
          <w:b/>
          <w:sz w:val="24"/>
          <w:szCs w:val="24"/>
        </w:rPr>
        <w:lastRenderedPageBreak/>
        <w:t>Box and whiskers plot</w:t>
      </w:r>
    </w:p>
    <w:p w14:paraId="000000B7"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441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441700"/>
                    </a:xfrm>
                    <a:prstGeom prst="rect">
                      <a:avLst/>
                    </a:prstGeom>
                    <a:ln/>
                  </pic:spPr>
                </pic:pic>
              </a:graphicData>
            </a:graphic>
          </wp:inline>
        </w:drawing>
      </w:r>
    </w:p>
    <w:p w14:paraId="000000B8"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rPr>
        <w:t>: Brazil and NZ’s box and whiskers plot internati</w:t>
      </w:r>
      <w:r>
        <w:rPr>
          <w:rFonts w:ascii="Times New Roman" w:eastAsia="Times New Roman" w:hAnsi="Times New Roman" w:cs="Times New Roman"/>
          <w:sz w:val="24"/>
          <w:szCs w:val="24"/>
        </w:rPr>
        <w:t xml:space="preserve">onal tourism expenditure from 1997 to 2017. </w:t>
      </w:r>
    </w:p>
    <w:p w14:paraId="000000B9"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Box and whisker plots are appropriate for displaying the mean, median, IQR, and quartiles of each country's tourism growth (TG) rate. Figure 1 indicates that Brazil's data has a left-skewed distribution, whereas</w:t>
      </w:r>
      <w:r>
        <w:rPr>
          <w:rFonts w:ascii="Times New Roman" w:eastAsia="Times New Roman" w:hAnsi="Times New Roman" w:cs="Times New Roman"/>
          <w:sz w:val="24"/>
          <w:szCs w:val="24"/>
        </w:rPr>
        <w:t xml:space="preserve"> NZ’s data has a right-skewed distribution. </w:t>
      </w:r>
    </w:p>
    <w:p w14:paraId="000000BA"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also reveals that Brazil's tourism growth rate </w:t>
      </w:r>
      <w:proofErr w:type="spellStart"/>
      <w:r>
        <w:rPr>
          <w:rFonts w:ascii="Times New Roman" w:eastAsia="Times New Roman" w:hAnsi="Times New Roman" w:cs="Times New Roman"/>
          <w:sz w:val="24"/>
          <w:szCs w:val="24"/>
        </w:rPr>
        <w:t>datas</w:t>
      </w:r>
      <w:proofErr w:type="spellEnd"/>
      <w:r>
        <w:rPr>
          <w:rFonts w:ascii="Times New Roman" w:eastAsia="Times New Roman" w:hAnsi="Times New Roman" w:cs="Times New Roman"/>
          <w:sz w:val="24"/>
          <w:szCs w:val="24"/>
        </w:rPr>
        <w:t xml:space="preserve"> are highly dispersed, whereas those for NZ are clustered around the median. According to the box plot, the tourism industry in Brazil experienced a growth rate of 2.35% between the first and third quartiles, which accounts for 50% of the data. In contrast</w:t>
      </w:r>
      <w:r>
        <w:rPr>
          <w:rFonts w:ascii="Times New Roman" w:eastAsia="Times New Roman" w:hAnsi="Times New Roman" w:cs="Times New Roman"/>
          <w:sz w:val="24"/>
          <w:szCs w:val="24"/>
        </w:rPr>
        <w:t>, NZ’s box plot growth rate was significantly lower, reaching only 0.55%.</w:t>
      </w:r>
    </w:p>
    <w:p w14:paraId="000000BB" w14:textId="77777777" w:rsidR="00BF21AC" w:rsidRDefault="00460E2B">
      <w:pPr>
        <w:pStyle w:val="Heading1"/>
        <w:spacing w:before="240" w:after="240"/>
        <w:jc w:val="both"/>
        <w:rPr>
          <w:rFonts w:ascii="Times New Roman" w:eastAsia="Times New Roman" w:hAnsi="Times New Roman" w:cs="Times New Roman"/>
          <w:b/>
          <w:color w:val="FF0000"/>
          <w:sz w:val="24"/>
          <w:szCs w:val="24"/>
        </w:rPr>
      </w:pPr>
      <w:bookmarkStart w:id="5" w:name="_goqn3aar55wn" w:colFirst="0" w:colLast="0"/>
      <w:bookmarkEnd w:id="5"/>
      <w:r>
        <w:rPr>
          <w:rFonts w:ascii="Times New Roman" w:eastAsia="Times New Roman" w:hAnsi="Times New Roman" w:cs="Times New Roman"/>
          <w:b/>
          <w:color w:val="FF0000"/>
          <w:sz w:val="24"/>
          <w:szCs w:val="24"/>
        </w:rPr>
        <w:lastRenderedPageBreak/>
        <w:t>III. Multiple Regression</w:t>
      </w:r>
    </w:p>
    <w:p w14:paraId="000000BC" w14:textId="77777777" w:rsidR="00BF21AC" w:rsidRDefault="00460E2B">
      <w:pPr>
        <w:pStyle w:val="Heading2"/>
        <w:numPr>
          <w:ilvl w:val="0"/>
          <w:numId w:val="1"/>
        </w:numPr>
        <w:spacing w:before="240" w:after="240"/>
        <w:jc w:val="both"/>
        <w:rPr>
          <w:rFonts w:ascii="Times New Roman" w:eastAsia="Times New Roman" w:hAnsi="Times New Roman" w:cs="Times New Roman"/>
          <w:b/>
          <w:sz w:val="24"/>
          <w:szCs w:val="24"/>
          <w:highlight w:val="yellow"/>
        </w:rPr>
      </w:pPr>
      <w:bookmarkStart w:id="6" w:name="_iwibouvn2bez" w:colFirst="0" w:colLast="0"/>
      <w:bookmarkEnd w:id="6"/>
      <w:r>
        <w:rPr>
          <w:rFonts w:ascii="Times New Roman" w:eastAsia="Times New Roman" w:hAnsi="Times New Roman" w:cs="Times New Roman"/>
          <w:b/>
          <w:sz w:val="24"/>
          <w:szCs w:val="24"/>
          <w:highlight w:val="yellow"/>
        </w:rPr>
        <w:t>Brazil</w:t>
      </w:r>
    </w:p>
    <w:p w14:paraId="000000BD"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133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2133600"/>
                    </a:xfrm>
                    <a:prstGeom prst="rect">
                      <a:avLst/>
                    </a:prstGeom>
                    <a:ln/>
                  </pic:spPr>
                </pic:pic>
              </a:graphicData>
            </a:graphic>
          </wp:inline>
        </w:drawing>
      </w:r>
    </w:p>
    <w:p w14:paraId="000000BE"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2:</w:t>
      </w:r>
      <w:r>
        <w:rPr>
          <w:rFonts w:ascii="Times New Roman" w:eastAsia="Times New Roman" w:hAnsi="Times New Roman" w:cs="Times New Roman"/>
          <w:sz w:val="24"/>
          <w:szCs w:val="24"/>
        </w:rPr>
        <w:t xml:space="preserve"> Brazil’s multiple regression</w:t>
      </w:r>
    </w:p>
    <w:p w14:paraId="000000BF"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backward elimination is a </w:t>
      </w:r>
      <w:r>
        <w:rPr>
          <w:rFonts w:ascii="Times New Roman" w:eastAsia="Times New Roman" w:hAnsi="Times New Roman" w:cs="Times New Roman"/>
          <w:color w:val="202124"/>
          <w:sz w:val="24"/>
          <w:szCs w:val="24"/>
        </w:rPr>
        <w:t xml:space="preserve">statistical method used to find the simplest model that explains the data, </w:t>
      </w: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usage of backward elimination is suitable here (</w:t>
      </w:r>
      <w:proofErr w:type="spellStart"/>
      <w:r>
        <w:rPr>
          <w:rFonts w:ascii="Times New Roman" w:eastAsia="Times New Roman" w:hAnsi="Times New Roman" w:cs="Times New Roman"/>
          <w:sz w:val="24"/>
          <w:szCs w:val="24"/>
        </w:rPr>
        <w:t>Simplilearn</w:t>
      </w:r>
      <w:proofErr w:type="spellEnd"/>
      <w:r>
        <w:rPr>
          <w:rFonts w:ascii="Times New Roman" w:eastAsia="Times New Roman" w:hAnsi="Times New Roman" w:cs="Times New Roman"/>
          <w:sz w:val="24"/>
          <w:szCs w:val="24"/>
        </w:rPr>
        <w:t xml:space="preserve"> 2022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After using it, we ended up with the final model, which included 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variables that are at 5% level of significance: TP, and CE. </w:t>
      </w:r>
    </w:p>
    <w:p w14:paraId="000000C0" w14:textId="77777777" w:rsidR="00BF21AC" w:rsidRDefault="00BF21AC">
      <w:pPr>
        <w:spacing w:before="240" w:after="240"/>
        <w:jc w:val="both"/>
        <w:rPr>
          <w:rFonts w:ascii="Times New Roman" w:eastAsia="Times New Roman" w:hAnsi="Times New Roman" w:cs="Times New Roman"/>
          <w:sz w:val="24"/>
          <w:szCs w:val="24"/>
        </w:rPr>
      </w:pPr>
    </w:p>
    <w:p w14:paraId="000000C1"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24525" cy="3200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24525" cy="3200400"/>
                    </a:xfrm>
                    <a:prstGeom prst="rect">
                      <a:avLst/>
                    </a:prstGeom>
                    <a:ln/>
                  </pic:spPr>
                </pic:pic>
              </a:graphicData>
            </a:graphic>
          </wp:inline>
        </w:drawing>
      </w:r>
    </w:p>
    <w:p w14:paraId="000000C2"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24525" cy="32670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24525" cy="3267075"/>
                    </a:xfrm>
                    <a:prstGeom prst="rect">
                      <a:avLst/>
                    </a:prstGeom>
                    <a:ln/>
                  </pic:spPr>
                </pic:pic>
              </a:graphicData>
            </a:graphic>
          </wp:inline>
        </w:drawing>
      </w:r>
    </w:p>
    <w:p w14:paraId="000000C3"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3:</w:t>
      </w:r>
      <w:r>
        <w:rPr>
          <w:rFonts w:ascii="Times New Roman" w:eastAsia="Times New Roman" w:hAnsi="Times New Roman" w:cs="Times New Roman"/>
          <w:sz w:val="24"/>
          <w:szCs w:val="24"/>
        </w:rPr>
        <w:t xml:space="preserve">  Line Fit Plots for Brazil’s ITE. </w:t>
      </w:r>
    </w:p>
    <w:p w14:paraId="000000C4" w14:textId="77777777" w:rsidR="00BF21AC" w:rsidRDefault="00460E2B">
      <w:pPr>
        <w:spacing w:before="240" w:after="240" w:line="360" w:lineRule="auto"/>
        <w:jc w:val="both"/>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sz w:val="24"/>
          <w:szCs w:val="24"/>
        </w:rPr>
        <w:t xml:space="preserve">Based on Figure 3, since both of the fit plots have </w:t>
      </w:r>
      <w:r>
        <w:rPr>
          <w:rFonts w:ascii="Times New Roman" w:eastAsia="Times New Roman" w:hAnsi="Times New Roman" w:cs="Times New Roman"/>
          <w:color w:val="202124"/>
          <w:sz w:val="24"/>
          <w:szCs w:val="24"/>
          <w:shd w:val="clear" w:color="auto" w:fill="F8F9FA"/>
        </w:rPr>
        <w:t xml:space="preserve">points that clustered around a line running from the bottom left to the top right of the chart area, it can be said that both TP and CE have a good relationship with ITE. </w:t>
      </w:r>
    </w:p>
    <w:p w14:paraId="000000C5" w14:textId="77777777" w:rsidR="00BF21AC" w:rsidRDefault="00460E2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Regression equation</w:t>
      </w:r>
    </w:p>
    <w:p w14:paraId="000000C6"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 b</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b</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p>
    <w:p w14:paraId="000000C7"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 =  </w:t>
      </w:r>
      <m:oMath>
        <m:r>
          <w:rPr>
            <w:rFonts w:ascii="Times New Roman" w:eastAsia="Times New Roman" w:hAnsi="Times New Roman" w:cs="Times New Roman"/>
            <w:sz w:val="24"/>
            <w:szCs w:val="24"/>
          </w:rPr>
          <m:t xml:space="preserve">-30.301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-6</m:t>
            </m:r>
          </m:sup>
        </m:sSup>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TP</m:t>
        </m:r>
        <m:r>
          <w:rPr>
            <w:rFonts w:ascii="Times New Roman" w:eastAsia="Times New Roman" w:hAnsi="Times New Roman" w:cs="Times New Roman"/>
            <w:sz w:val="24"/>
            <w:szCs w:val="24"/>
          </w:rPr>
          <m:t>) + 0.728(</m:t>
        </m:r>
        <m:r>
          <w:rPr>
            <w:rFonts w:ascii="Times New Roman" w:eastAsia="Times New Roman" w:hAnsi="Times New Roman" w:cs="Times New Roman"/>
            <w:sz w:val="24"/>
            <w:szCs w:val="24"/>
          </w:rPr>
          <m:t>CE</m:t>
        </m:r>
        <m:r>
          <w:rPr>
            <w:rFonts w:ascii="Times New Roman" w:eastAsia="Times New Roman" w:hAnsi="Times New Roman" w:cs="Times New Roman"/>
            <w:sz w:val="24"/>
            <w:szCs w:val="24"/>
          </w:rPr>
          <m:t>)</m:t>
        </m:r>
      </m:oMath>
    </w:p>
    <w:p w14:paraId="000000C8" w14:textId="77777777" w:rsidR="00BF21AC" w:rsidRDefault="00460E2B">
      <w:pPr>
        <w:pStyle w:val="Heading2"/>
        <w:widowControl w:val="0"/>
        <w:spacing w:before="373" w:line="240" w:lineRule="auto"/>
        <w:ind w:left="420"/>
        <w:jc w:val="both"/>
        <w:rPr>
          <w:rFonts w:ascii="Times New Roman" w:eastAsia="Times New Roman" w:hAnsi="Times New Roman" w:cs="Times New Roman"/>
          <w:b/>
          <w:sz w:val="24"/>
          <w:szCs w:val="24"/>
        </w:rPr>
      </w:pPr>
      <w:bookmarkStart w:id="7" w:name="_yoyyvevny0ug" w:colFirst="0" w:colLast="0"/>
      <w:bookmarkEnd w:id="7"/>
      <w:r>
        <w:rPr>
          <w:rFonts w:ascii="Times New Roman" w:eastAsia="Times New Roman" w:hAnsi="Times New Roman" w:cs="Times New Roman"/>
          <w:b/>
          <w:sz w:val="24"/>
          <w:szCs w:val="24"/>
        </w:rPr>
        <w:t xml:space="preserve">2. Interpretation of regression coefficients </w:t>
      </w:r>
    </w:p>
    <w:p w14:paraId="000000C9"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-30.301: The estimated average ITE is -30.3011 % when the values </w:t>
      </w:r>
      <w:proofErr w:type="gramStart"/>
      <w:r>
        <w:rPr>
          <w:rFonts w:ascii="Times New Roman" w:eastAsia="Times New Roman" w:hAnsi="Times New Roman" w:cs="Times New Roman"/>
          <w:sz w:val="24"/>
          <w:szCs w:val="24"/>
        </w:rPr>
        <w:t>of  ME</w:t>
      </w:r>
      <w:proofErr w:type="gramEnd"/>
      <w:r>
        <w:rPr>
          <w:rFonts w:ascii="Times New Roman" w:eastAsia="Times New Roman" w:hAnsi="Times New Roman" w:cs="Times New Roman"/>
          <w:sz w:val="24"/>
          <w:szCs w:val="24"/>
        </w:rPr>
        <w:t>, CE, NOE are 0</w:t>
      </w:r>
    </w:p>
    <w:p w14:paraId="000000CA"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1</w:t>
      </w:r>
      <w:r>
        <w:rPr>
          <w:rFonts w:ascii="Cambria Math" w:eastAsia="Cambria Math" w:hAnsi="Cambria Math" w:cs="Cambria Math"/>
          <w:sz w:val="24"/>
          <w:szCs w:val="24"/>
        </w:rPr>
        <w:t xml:space="preserve">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-6</m:t>
            </m:r>
          </m:sup>
        </m:sSup>
      </m:oMath>
      <w:r>
        <w:rPr>
          <w:rFonts w:ascii="Times New Roman" w:eastAsia="Times New Roman" w:hAnsi="Times New Roman" w:cs="Times New Roman"/>
          <w:sz w:val="24"/>
          <w:szCs w:val="24"/>
        </w:rPr>
        <w:t xml:space="preserve"> : The average ITE increases with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-7</m:t>
            </m:r>
          </m:sup>
        </m:sSup>
      </m:oMath>
      <w:r>
        <w:rPr>
          <w:rFonts w:ascii="Times New Roman" w:eastAsia="Times New Roman" w:hAnsi="Times New Roman" w:cs="Times New Roman"/>
          <w:sz w:val="24"/>
          <w:szCs w:val="24"/>
        </w:rPr>
        <w:t>% for each 1% increase in TP.</w:t>
      </w:r>
    </w:p>
    <w:p w14:paraId="000000CB"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0.728: The average ITE increases by 0.7284% for each 1% of CE.</w:t>
      </w:r>
    </w:p>
    <w:p w14:paraId="000000CC" w14:textId="77777777" w:rsidR="00BF21AC" w:rsidRDefault="00460E2B">
      <w:pPr>
        <w:pStyle w:val="Heading2"/>
        <w:widowControl w:val="0"/>
        <w:spacing w:before="525" w:line="240" w:lineRule="auto"/>
        <w:jc w:val="both"/>
        <w:rPr>
          <w:rFonts w:ascii="Times New Roman" w:eastAsia="Times New Roman" w:hAnsi="Times New Roman" w:cs="Times New Roman"/>
          <w:b/>
          <w:sz w:val="24"/>
          <w:szCs w:val="24"/>
        </w:rPr>
      </w:pPr>
      <w:bookmarkStart w:id="8" w:name="_noiltwd5ta65" w:colFirst="0" w:colLast="0"/>
      <w:bookmarkEnd w:id="8"/>
      <w:r>
        <w:rPr>
          <w:rFonts w:ascii="Times New Roman" w:eastAsia="Times New Roman" w:hAnsi="Times New Roman" w:cs="Times New Roman"/>
          <w:b/>
          <w:sz w:val="24"/>
          <w:szCs w:val="24"/>
        </w:rPr>
        <w:lastRenderedPageBreak/>
        <w:t>3. Interpretation of the coefficient of determination</w:t>
      </w:r>
    </w:p>
    <w:p w14:paraId="000000CD" w14:textId="77777777" w:rsidR="00BF21AC" w:rsidRDefault="00460E2B">
      <w:pPr>
        <w:widowControl w:val="0"/>
        <w:spacing w:before="409" w:line="360" w:lineRule="auto"/>
        <w:ind w:left="65" w:right="1150" w:hanging="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0.83177 shows that 83.177% of ITE variation from 1997-2017 can be explained by TP, and CE, while the other 16.823% can be explained by other factors that are excluded from this research.</w:t>
      </w:r>
    </w:p>
    <w:p w14:paraId="000000CE" w14:textId="77777777" w:rsidR="00BF21AC" w:rsidRDefault="00460E2B">
      <w:pPr>
        <w:widowControl w:val="0"/>
        <w:spacing w:before="409" w:line="360" w:lineRule="auto"/>
        <w:ind w:left="65" w:right="1150" w:hanging="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Brazi</w:t>
      </w:r>
      <w:r>
        <w:rPr>
          <w:rFonts w:ascii="Times New Roman" w:eastAsia="Times New Roman" w:hAnsi="Times New Roman" w:cs="Times New Roman"/>
          <w:sz w:val="24"/>
          <w:szCs w:val="24"/>
        </w:rPr>
        <w:t xml:space="preserve">l’s coefficient of determination is high (83.177%), it means that TP, and CE have a big influence on Brazil’s ITE. </w:t>
      </w:r>
    </w:p>
    <w:p w14:paraId="000000CF" w14:textId="77777777" w:rsidR="00BF21AC" w:rsidRDefault="00460E2B">
      <w:pPr>
        <w:pStyle w:val="Heading2"/>
        <w:widowControl w:val="0"/>
        <w:numPr>
          <w:ilvl w:val="0"/>
          <w:numId w:val="1"/>
        </w:numPr>
        <w:spacing w:before="525" w:line="240" w:lineRule="auto"/>
        <w:jc w:val="both"/>
        <w:rPr>
          <w:rFonts w:ascii="Times New Roman" w:eastAsia="Times New Roman" w:hAnsi="Times New Roman" w:cs="Times New Roman"/>
          <w:b/>
          <w:sz w:val="24"/>
          <w:szCs w:val="24"/>
          <w:highlight w:val="yellow"/>
        </w:rPr>
      </w:pPr>
      <w:bookmarkStart w:id="9" w:name="_fhcyy5l7qaui" w:colFirst="0" w:colLast="0"/>
      <w:bookmarkEnd w:id="9"/>
      <w:r>
        <w:rPr>
          <w:rFonts w:ascii="Times New Roman" w:eastAsia="Times New Roman" w:hAnsi="Times New Roman" w:cs="Times New Roman"/>
          <w:b/>
          <w:sz w:val="24"/>
          <w:szCs w:val="24"/>
          <w:highlight w:val="yellow"/>
        </w:rPr>
        <w:t xml:space="preserve">New Zealand </w:t>
      </w:r>
    </w:p>
    <w:p w14:paraId="000000D0" w14:textId="77777777" w:rsidR="00BF21AC" w:rsidRDefault="00BF21AC">
      <w:pPr>
        <w:jc w:val="both"/>
        <w:rPr>
          <w:sz w:val="24"/>
          <w:szCs w:val="24"/>
        </w:rPr>
      </w:pPr>
    </w:p>
    <w:p w14:paraId="000000D1"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400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400300"/>
                    </a:xfrm>
                    <a:prstGeom prst="rect">
                      <a:avLst/>
                    </a:prstGeom>
                    <a:ln/>
                  </pic:spPr>
                </pic:pic>
              </a:graphicData>
            </a:graphic>
          </wp:inline>
        </w:drawing>
      </w:r>
    </w:p>
    <w:p w14:paraId="000000D2"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4:</w:t>
      </w:r>
      <w:r>
        <w:rPr>
          <w:rFonts w:ascii="Times New Roman" w:eastAsia="Times New Roman" w:hAnsi="Times New Roman" w:cs="Times New Roman"/>
          <w:sz w:val="24"/>
          <w:szCs w:val="24"/>
        </w:rPr>
        <w:t xml:space="preserve"> NZ’s multiple regression. </w:t>
      </w:r>
    </w:p>
    <w:p w14:paraId="000000D3" w14:textId="77777777" w:rsidR="00BF21AC" w:rsidRDefault="00BF21AC">
      <w:pPr>
        <w:widowControl w:val="0"/>
        <w:spacing w:before="525" w:line="240" w:lineRule="auto"/>
        <w:jc w:val="both"/>
        <w:rPr>
          <w:rFonts w:ascii="Times New Roman" w:eastAsia="Times New Roman" w:hAnsi="Times New Roman" w:cs="Times New Roman"/>
          <w:sz w:val="24"/>
          <w:szCs w:val="24"/>
        </w:rPr>
      </w:pPr>
    </w:p>
    <w:p w14:paraId="000000D4" w14:textId="77777777" w:rsidR="00BF21AC" w:rsidRDefault="00460E2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backward elimination is used to remove features that do not have a significant e</w:t>
      </w:r>
      <w:r>
        <w:rPr>
          <w:rFonts w:ascii="Times New Roman" w:eastAsia="Times New Roman" w:hAnsi="Times New Roman" w:cs="Times New Roman"/>
          <w:sz w:val="24"/>
          <w:szCs w:val="24"/>
        </w:rPr>
        <w:t>ffect on the dependent variable or predict the output, it will be used here (</w:t>
      </w:r>
      <w:proofErr w:type="spellStart"/>
      <w:r>
        <w:rPr>
          <w:rFonts w:ascii="Times New Roman" w:eastAsia="Times New Roman" w:hAnsi="Times New Roman" w:cs="Times New Roman"/>
          <w:sz w:val="24"/>
          <w:szCs w:val="24"/>
        </w:rPr>
        <w:t>Javatpoint</w:t>
      </w:r>
      <w:proofErr w:type="spellEnd"/>
      <w:r>
        <w:rPr>
          <w:rFonts w:ascii="Times New Roman" w:eastAsia="Times New Roman" w:hAnsi="Times New Roman" w:cs="Times New Roman"/>
          <w:sz w:val="24"/>
          <w:szCs w:val="24"/>
        </w:rPr>
        <w:t xml:space="preserve"> n.d.). Through the usage of backward elimination, we will end up with the final model, which included 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variable that is at 5% level of significance: TP.</w:t>
      </w:r>
    </w:p>
    <w:p w14:paraId="000000D5" w14:textId="77777777" w:rsidR="00BF21AC" w:rsidRDefault="00460E2B">
      <w:pPr>
        <w:widowControl w:val="0"/>
        <w:spacing w:before="525"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lastRenderedPageBreak/>
        <w:drawing>
          <wp:inline distT="114300" distB="114300" distL="114300" distR="114300">
            <wp:extent cx="5731200" cy="2044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044700"/>
                    </a:xfrm>
                    <a:prstGeom prst="rect">
                      <a:avLst/>
                    </a:prstGeom>
                    <a:ln/>
                  </pic:spPr>
                </pic:pic>
              </a:graphicData>
            </a:graphic>
          </wp:inline>
        </w:drawing>
      </w:r>
      <w:r>
        <w:rPr>
          <w:rFonts w:ascii="Times New Roman" w:eastAsia="Times New Roman" w:hAnsi="Times New Roman" w:cs="Times New Roman"/>
          <w:sz w:val="24"/>
          <w:szCs w:val="24"/>
          <w:u w:val="single"/>
        </w:rPr>
        <w:t>Figure 5:</w:t>
      </w:r>
      <w:r>
        <w:rPr>
          <w:rFonts w:ascii="Times New Roman" w:eastAsia="Times New Roman" w:hAnsi="Times New Roman" w:cs="Times New Roman"/>
          <w:sz w:val="24"/>
          <w:szCs w:val="24"/>
        </w:rPr>
        <w:t xml:space="preserve"> Line Fit Plots for NZ’s ITE. </w:t>
      </w:r>
    </w:p>
    <w:p w14:paraId="000000D6" w14:textId="77777777" w:rsidR="00BF21AC" w:rsidRDefault="00460E2B">
      <w:pPr>
        <w:widowControl w:val="0"/>
        <w:spacing w:before="525"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figure 5, it can be seen that TP has a positive relationship with ITE, meaning that as the value of TP increases, the value of the ITE will also increase. </w:t>
      </w:r>
    </w:p>
    <w:p w14:paraId="000000D7" w14:textId="77777777" w:rsidR="00BF21AC" w:rsidRDefault="00460E2B">
      <w:pPr>
        <w:widowControl w:val="0"/>
        <w:spacing w:before="525"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Regression equation</w:t>
      </w:r>
    </w:p>
    <w:p w14:paraId="000000D8" w14:textId="77777777" w:rsidR="00BF21AC" w:rsidRDefault="00460E2B">
      <w:pPr>
        <w:widowControl w:val="0"/>
        <w:spacing w:before="525" w:line="240"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y = b</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 b</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 xml:space="preserve">1 </w:t>
      </w:r>
    </w:p>
    <w:p w14:paraId="000000D9" w14:textId="77777777" w:rsidR="00BF21AC" w:rsidRDefault="00460E2B">
      <w:pPr>
        <w:widowControl w:val="0"/>
        <w:spacing w:before="373"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 = 6.252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-6</m:t>
            </m:r>
          </m:sup>
        </m:sSup>
      </m:oMath>
      <w:r>
        <w:rPr>
          <w:rFonts w:ascii="Times New Roman" w:eastAsia="Times New Roman" w:hAnsi="Times New Roman" w:cs="Times New Roman"/>
          <w:sz w:val="24"/>
          <w:szCs w:val="24"/>
        </w:rPr>
        <w:t xml:space="preserve"> (TP)</w:t>
      </w:r>
    </w:p>
    <w:p w14:paraId="000000DA" w14:textId="77777777" w:rsidR="00BF21AC" w:rsidRDefault="00460E2B">
      <w:pPr>
        <w:pStyle w:val="Heading2"/>
        <w:widowControl w:val="0"/>
        <w:spacing w:before="373" w:line="240" w:lineRule="auto"/>
        <w:jc w:val="both"/>
        <w:rPr>
          <w:rFonts w:ascii="Times New Roman" w:eastAsia="Times New Roman" w:hAnsi="Times New Roman" w:cs="Times New Roman"/>
          <w:b/>
          <w:sz w:val="24"/>
          <w:szCs w:val="24"/>
        </w:rPr>
      </w:pPr>
      <w:bookmarkStart w:id="10" w:name="_e0u9o3etluv7" w:colFirst="0" w:colLast="0"/>
      <w:bookmarkEnd w:id="10"/>
      <w:r>
        <w:rPr>
          <w:rFonts w:ascii="Times New Roman" w:eastAsia="Times New Roman" w:hAnsi="Times New Roman" w:cs="Times New Roman"/>
          <w:b/>
          <w:sz w:val="24"/>
          <w:szCs w:val="24"/>
        </w:rPr>
        <w:t xml:space="preserve">2. Interpretation of regression coefficients </w:t>
      </w:r>
    </w:p>
    <w:p w14:paraId="000000DB"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6.252: The estimated value for ITE is 6.2524% when the values </w:t>
      </w:r>
      <w:proofErr w:type="gramStart"/>
      <w:r>
        <w:rPr>
          <w:rFonts w:ascii="Times New Roman" w:eastAsia="Times New Roman" w:hAnsi="Times New Roman" w:cs="Times New Roman"/>
          <w:sz w:val="24"/>
          <w:szCs w:val="24"/>
        </w:rPr>
        <w:t>of  TP</w:t>
      </w:r>
      <w:proofErr w:type="gramEnd"/>
      <w:r>
        <w:rPr>
          <w:rFonts w:ascii="Times New Roman" w:eastAsia="Times New Roman" w:hAnsi="Times New Roman" w:cs="Times New Roman"/>
          <w:sz w:val="24"/>
          <w:szCs w:val="24"/>
        </w:rPr>
        <w:t xml:space="preserve"> are 0</w:t>
      </w:r>
    </w:p>
    <w:p w14:paraId="000000DC" w14:textId="77777777" w:rsidR="00BF21AC" w:rsidRDefault="00460E2B">
      <w:pPr>
        <w:widowControl w:val="0"/>
        <w:spacing w:before="5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-6</m:t>
            </m:r>
          </m:sup>
        </m:sSup>
      </m:oMath>
      <w:r>
        <w:rPr>
          <w:rFonts w:ascii="Times New Roman" w:eastAsia="Times New Roman" w:hAnsi="Times New Roman" w:cs="Times New Roman"/>
          <w:sz w:val="24"/>
          <w:szCs w:val="24"/>
        </w:rPr>
        <w:t xml:space="preserve">: The average ITE increases by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-6</m:t>
            </m:r>
          </m:sup>
        </m:sSup>
      </m:oMath>
      <w:r>
        <w:rPr>
          <w:rFonts w:ascii="Times New Roman" w:eastAsia="Times New Roman" w:hAnsi="Times New Roman" w:cs="Times New Roman"/>
          <w:sz w:val="24"/>
          <w:szCs w:val="24"/>
        </w:rPr>
        <w:t>% for each 1% of TP.</w:t>
      </w:r>
    </w:p>
    <w:p w14:paraId="000000DD" w14:textId="77777777" w:rsidR="00BF21AC" w:rsidRDefault="00460E2B">
      <w:pPr>
        <w:pStyle w:val="Heading2"/>
        <w:widowControl w:val="0"/>
        <w:spacing w:before="525" w:line="240" w:lineRule="auto"/>
        <w:jc w:val="both"/>
        <w:rPr>
          <w:rFonts w:ascii="Times New Roman" w:eastAsia="Times New Roman" w:hAnsi="Times New Roman" w:cs="Times New Roman"/>
          <w:b/>
          <w:sz w:val="24"/>
          <w:szCs w:val="24"/>
        </w:rPr>
      </w:pPr>
      <w:bookmarkStart w:id="11" w:name="_rebwijc79jdi" w:colFirst="0" w:colLast="0"/>
      <w:bookmarkEnd w:id="11"/>
      <w:r>
        <w:rPr>
          <w:rFonts w:ascii="Times New Roman" w:eastAsia="Times New Roman" w:hAnsi="Times New Roman" w:cs="Times New Roman"/>
          <w:b/>
          <w:sz w:val="24"/>
          <w:szCs w:val="24"/>
        </w:rPr>
        <w:t xml:space="preserve">3. Interpretation of the coefficient of </w:t>
      </w:r>
      <w:r>
        <w:rPr>
          <w:rFonts w:ascii="Times New Roman" w:eastAsia="Times New Roman" w:hAnsi="Times New Roman" w:cs="Times New Roman"/>
          <w:b/>
          <w:sz w:val="24"/>
          <w:szCs w:val="24"/>
        </w:rPr>
        <w:t>determination</w:t>
      </w:r>
    </w:p>
    <w:p w14:paraId="000000DE" w14:textId="77777777" w:rsidR="00BF21AC" w:rsidRDefault="00460E2B">
      <w:pPr>
        <w:widowControl w:val="0"/>
        <w:spacing w:before="409" w:line="337" w:lineRule="auto"/>
        <w:ind w:right="1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=0.75929 shows that 75.929% of New Zealand’s tourism growth variation from 1997-2017 can be explained by TP, while the other 24.701% can be explained by other factors that are excluded from this research.</w:t>
      </w:r>
    </w:p>
    <w:p w14:paraId="000000DF" w14:textId="77777777" w:rsidR="00BF21AC" w:rsidRDefault="00460E2B">
      <w:pPr>
        <w:widowControl w:val="0"/>
        <w:spacing w:before="409" w:line="337" w:lineRule="auto"/>
        <w:ind w:left="65" w:right="1150" w:hanging="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New Zealand’s coefficient of determination is high (75.929%), it means that TP has a big influence on New Zealand ITE. </w:t>
      </w:r>
    </w:p>
    <w:p w14:paraId="000000E0" w14:textId="77777777" w:rsidR="00BF21AC" w:rsidRDefault="00460E2B">
      <w:pPr>
        <w:pStyle w:val="Heading1"/>
        <w:spacing w:before="240" w:after="240"/>
        <w:jc w:val="both"/>
        <w:rPr>
          <w:rFonts w:ascii="Times New Roman" w:eastAsia="Times New Roman" w:hAnsi="Times New Roman" w:cs="Times New Roman"/>
          <w:b/>
          <w:color w:val="FF0000"/>
          <w:sz w:val="24"/>
          <w:szCs w:val="24"/>
        </w:rPr>
      </w:pPr>
      <w:bookmarkStart w:id="12" w:name="_5q70mym8w3qn" w:colFirst="0" w:colLast="0"/>
      <w:bookmarkEnd w:id="12"/>
      <w:r>
        <w:rPr>
          <w:rFonts w:ascii="Times New Roman" w:eastAsia="Times New Roman" w:hAnsi="Times New Roman" w:cs="Times New Roman"/>
          <w:b/>
          <w:color w:val="FF0000"/>
          <w:sz w:val="24"/>
          <w:szCs w:val="24"/>
        </w:rPr>
        <w:lastRenderedPageBreak/>
        <w:t>IV.  Team Regression:</w:t>
      </w:r>
    </w:p>
    <w:p w14:paraId="000000E1" w14:textId="77777777" w:rsidR="00BF21AC" w:rsidRDefault="00460E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Regression Model from Part 3, it can be seen that both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have the same 2 variables, tha</w:t>
      </w:r>
      <w:r>
        <w:rPr>
          <w:rFonts w:ascii="Times New Roman" w:eastAsia="Times New Roman" w:hAnsi="Times New Roman" w:cs="Times New Roman"/>
          <w:sz w:val="24"/>
          <w:szCs w:val="24"/>
        </w:rPr>
        <w:t>t being TP. Looking at the part above, both of these variables have the same relationship in the 2 databases, with TP having a positive relationship with the ITE in both countries. Not only that, these 2 variables have a bigger influence on NZ’s TG rate (8</w:t>
      </w:r>
      <w:r>
        <w:rPr>
          <w:rFonts w:ascii="Times New Roman" w:eastAsia="Times New Roman" w:hAnsi="Times New Roman" w:cs="Times New Roman"/>
          <w:sz w:val="24"/>
          <w:szCs w:val="24"/>
        </w:rPr>
        <w:t>3.177%) than with Brazil’s TG rate (75.929%).</w:t>
      </w:r>
    </w:p>
    <w:p w14:paraId="000000E2" w14:textId="77777777" w:rsidR="00BF21AC" w:rsidRDefault="00BF21AC">
      <w:pPr>
        <w:spacing w:line="360" w:lineRule="auto"/>
        <w:jc w:val="both"/>
        <w:rPr>
          <w:rFonts w:ascii="Times New Roman" w:eastAsia="Times New Roman" w:hAnsi="Times New Roman" w:cs="Times New Roman"/>
          <w:sz w:val="24"/>
          <w:szCs w:val="24"/>
        </w:rPr>
      </w:pPr>
    </w:p>
    <w:p w14:paraId="000000E3" w14:textId="77777777" w:rsidR="00BF21AC" w:rsidRDefault="00460E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Brazil, CE has the highest influence on Brazil's TG, since there is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83.177% chance that Brazil’s TG increases by 0.7284% for each 1% of IT. As for NZ, TP has the highest influence on NZ’s IT</w:t>
      </w:r>
      <w:r>
        <w:rPr>
          <w:rFonts w:ascii="Times New Roman" w:eastAsia="Times New Roman" w:hAnsi="Times New Roman" w:cs="Times New Roman"/>
          <w:sz w:val="24"/>
          <w:szCs w:val="24"/>
        </w:rPr>
        <w:t>E, mainly because it is the only one.</w:t>
      </w:r>
    </w:p>
    <w:p w14:paraId="000000E4" w14:textId="77777777" w:rsidR="00BF21AC" w:rsidRDefault="00BF21AC">
      <w:pPr>
        <w:jc w:val="both"/>
        <w:rPr>
          <w:rFonts w:ascii="Times New Roman" w:eastAsia="Times New Roman" w:hAnsi="Times New Roman" w:cs="Times New Roman"/>
          <w:sz w:val="24"/>
          <w:szCs w:val="24"/>
        </w:rPr>
      </w:pPr>
    </w:p>
    <w:p w14:paraId="000000E5" w14:textId="77777777" w:rsidR="00BF21AC" w:rsidRDefault="00460E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Part 2, it can be seen that NZ's descriptive statistics are mostly higher than that of Brazil. Since median was the most suitable measure for central tendency, it was found out that 50% of NZ's ITE ex</w:t>
      </w:r>
      <w:r>
        <w:rPr>
          <w:rFonts w:ascii="Times New Roman" w:eastAsia="Times New Roman" w:hAnsi="Times New Roman" w:cs="Times New Roman"/>
          <w:sz w:val="24"/>
          <w:szCs w:val="24"/>
        </w:rPr>
        <w:t>perienced a growth rate of 7.58%, compared to 7.07% for Brazil.</w:t>
      </w:r>
    </w:p>
    <w:p w14:paraId="000000E6" w14:textId="77777777" w:rsidR="00BF21AC" w:rsidRDefault="00BF21AC">
      <w:pPr>
        <w:spacing w:before="240" w:after="240" w:line="360" w:lineRule="auto"/>
        <w:jc w:val="both"/>
        <w:rPr>
          <w:rFonts w:ascii="Times New Roman" w:eastAsia="Times New Roman" w:hAnsi="Times New Roman" w:cs="Times New Roman"/>
          <w:sz w:val="24"/>
          <w:szCs w:val="24"/>
        </w:rPr>
      </w:pPr>
    </w:p>
    <w:p w14:paraId="000000E7" w14:textId="77777777" w:rsidR="00BF21AC" w:rsidRDefault="00460E2B">
      <w:pPr>
        <w:spacing w:before="240" w:after="240"/>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14:paraId="000000E8" w14:textId="77777777" w:rsidR="00BF21AC" w:rsidRDefault="00460E2B">
      <w:pPr>
        <w:pStyle w:val="Heading1"/>
        <w:spacing w:before="240" w:after="240"/>
        <w:jc w:val="both"/>
        <w:rPr>
          <w:rFonts w:ascii="Times New Roman" w:eastAsia="Times New Roman" w:hAnsi="Times New Roman" w:cs="Times New Roman"/>
          <w:b/>
          <w:color w:val="FF0000"/>
          <w:sz w:val="24"/>
          <w:szCs w:val="24"/>
        </w:rPr>
      </w:pPr>
      <w:bookmarkStart w:id="13" w:name="_31qnbcp4krh4" w:colFirst="0" w:colLast="0"/>
      <w:bookmarkEnd w:id="13"/>
      <w:r>
        <w:rPr>
          <w:rFonts w:ascii="Times New Roman" w:eastAsia="Times New Roman" w:hAnsi="Times New Roman" w:cs="Times New Roman"/>
          <w:b/>
          <w:color w:val="FF0000"/>
          <w:sz w:val="24"/>
          <w:szCs w:val="24"/>
        </w:rPr>
        <w:t>V. Time Series Forecasting</w:t>
      </w:r>
    </w:p>
    <w:p w14:paraId="000000E9" w14:textId="77777777" w:rsidR="00BF21AC" w:rsidRDefault="00460E2B">
      <w:pPr>
        <w:pStyle w:val="Heading2"/>
        <w:spacing w:before="240" w:after="240"/>
        <w:ind w:firstLine="720"/>
        <w:jc w:val="both"/>
        <w:rPr>
          <w:rFonts w:ascii="Times New Roman" w:eastAsia="Times New Roman" w:hAnsi="Times New Roman" w:cs="Times New Roman"/>
          <w:b/>
          <w:sz w:val="24"/>
          <w:szCs w:val="24"/>
        </w:rPr>
      </w:pPr>
      <w:bookmarkStart w:id="14" w:name="_12f9avcih4i" w:colFirst="0" w:colLast="0"/>
      <w:bookmarkEnd w:id="14"/>
      <w:r>
        <w:rPr>
          <w:rFonts w:ascii="Times New Roman" w:eastAsia="Times New Roman" w:hAnsi="Times New Roman" w:cs="Times New Roman"/>
          <w:b/>
          <w:sz w:val="24"/>
          <w:szCs w:val="24"/>
        </w:rPr>
        <w:t>1.Line</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sz w:val="24"/>
          <w:szCs w:val="24"/>
        </w:rPr>
        <w:t>chart</w:t>
      </w:r>
    </w:p>
    <w:p w14:paraId="000000EA" w14:textId="77777777" w:rsidR="00BF21AC" w:rsidRDefault="00460E2B">
      <w:pPr>
        <w:spacing w:before="240" w:after="240"/>
        <w:ind w:left="708"/>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843588" cy="3038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843588" cy="3038475"/>
                    </a:xfrm>
                    <a:prstGeom prst="rect">
                      <a:avLst/>
                    </a:prstGeom>
                    <a:ln/>
                  </pic:spPr>
                </pic:pic>
              </a:graphicData>
            </a:graphic>
          </wp:inline>
        </w:drawing>
      </w:r>
    </w:p>
    <w:p w14:paraId="000000EB" w14:textId="77777777" w:rsidR="00BF21AC" w:rsidRDefault="00460E2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lastRenderedPageBreak/>
        <w:t xml:space="preserve">Figure </w:t>
      </w:r>
      <w:proofErr w:type="gramStart"/>
      <w:r>
        <w:rPr>
          <w:rFonts w:ascii="Times New Roman" w:eastAsia="Times New Roman" w:hAnsi="Times New Roman" w:cs="Times New Roman"/>
          <w:sz w:val="24"/>
          <w:szCs w:val="24"/>
          <w:u w:val="single"/>
        </w:rPr>
        <w:t>6</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Line chart reveals the international tourism expenditure of Brazil and NZ from 1997 to 2017 (% of total import)</w:t>
      </w:r>
    </w:p>
    <w:p w14:paraId="000000EC"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1997 to 2017, the graph depicts the trend in ITE between Brazil and NZ. Between 1997 and 1999, NZ did not set any records, whilst Brazil</w:t>
      </w:r>
      <w:r>
        <w:rPr>
          <w:rFonts w:ascii="Times New Roman" w:eastAsia="Times New Roman" w:hAnsi="Times New Roman" w:cs="Times New Roman"/>
          <w:sz w:val="24"/>
          <w:szCs w:val="24"/>
        </w:rPr>
        <w:t>'s trend remained stable in 1997 and 1998 at 8%, then declined to roughly 6% in 1999. From 2000 to 2008, NZ's trendline was fairly steady, dropping from 7% in 2000 to 6.8% in 2008. During the same time period, Brazil saw tremendous fluctuations with a down</w:t>
      </w:r>
      <w:r>
        <w:rPr>
          <w:rFonts w:ascii="Times New Roman" w:eastAsia="Times New Roman" w:hAnsi="Times New Roman" w:cs="Times New Roman"/>
          <w:sz w:val="24"/>
          <w:szCs w:val="24"/>
        </w:rPr>
        <w:t xml:space="preserve">ward tendency, reaching 6% in 2008, which was less than 1% in 2000. </w:t>
      </w:r>
    </w:p>
    <w:p w14:paraId="000000ED"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2009 to 2017, ITE in Brazil increased significantly, reaching a peak of 9.8% in 2017. In the meantime, the NZ trendline followed the same path as the preceding era and peaked in 2016</w:t>
      </w:r>
      <w:r>
        <w:rPr>
          <w:rFonts w:ascii="Times New Roman" w:eastAsia="Times New Roman" w:hAnsi="Times New Roman" w:cs="Times New Roman"/>
          <w:sz w:val="24"/>
          <w:szCs w:val="24"/>
        </w:rPr>
        <w:t xml:space="preserve"> at 8.3%. As for the box and whisker plot, the tourism industry in Brazil experienced a growth rate of 2.35 % between the first and third quartiles. On the other hand, NZ's box plot growth rate was significantly lower, reaching only 0.55 %.</w:t>
      </w:r>
    </w:p>
    <w:p w14:paraId="000000EE" w14:textId="77777777" w:rsidR="00BF21AC" w:rsidRDefault="00BF21AC">
      <w:pPr>
        <w:spacing w:before="240" w:after="240"/>
        <w:jc w:val="both"/>
        <w:rPr>
          <w:rFonts w:ascii="Times New Roman" w:eastAsia="Times New Roman" w:hAnsi="Times New Roman" w:cs="Times New Roman"/>
          <w:sz w:val="24"/>
          <w:szCs w:val="24"/>
        </w:rPr>
      </w:pPr>
    </w:p>
    <w:p w14:paraId="000000EF" w14:textId="77777777" w:rsidR="00BF21AC" w:rsidRDefault="00460E2B">
      <w:pPr>
        <w:pStyle w:val="Heading2"/>
        <w:spacing w:before="240" w:after="240"/>
        <w:jc w:val="both"/>
        <w:rPr>
          <w:rFonts w:ascii="Times New Roman" w:eastAsia="Times New Roman" w:hAnsi="Times New Roman" w:cs="Times New Roman"/>
          <w:b/>
          <w:sz w:val="24"/>
          <w:szCs w:val="24"/>
          <w:highlight w:val="yellow"/>
        </w:rPr>
      </w:pPr>
      <w:bookmarkStart w:id="15" w:name="_6nk7q7cf4q9a" w:colFirst="0" w:colLast="0"/>
      <w:bookmarkEnd w:id="15"/>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highlight w:val="yellow"/>
        </w:rPr>
        <w:t>Brazil</w:t>
      </w:r>
    </w:p>
    <w:p w14:paraId="000000F0" w14:textId="77777777" w:rsidR="00BF21AC" w:rsidRDefault="00460E2B">
      <w:pPr>
        <w:numPr>
          <w:ilvl w:val="0"/>
          <w:numId w:val="5"/>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w:t>
      </w:r>
    </w:p>
    <w:p w14:paraId="000000F1"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Regression output: </w:t>
      </w:r>
    </w:p>
    <w:p w14:paraId="000000F2"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9497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3949700"/>
                    </a:xfrm>
                    <a:prstGeom prst="rect">
                      <a:avLst/>
                    </a:prstGeom>
                    <a:ln/>
                  </pic:spPr>
                </pic:pic>
              </a:graphicData>
            </a:graphic>
          </wp:inline>
        </w:drawing>
      </w:r>
    </w:p>
    <w:p w14:paraId="000000F3"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7</w:t>
      </w:r>
      <w:r>
        <w:rPr>
          <w:rFonts w:ascii="Times New Roman" w:eastAsia="Times New Roman" w:hAnsi="Times New Roman" w:cs="Times New Roman"/>
          <w:sz w:val="24"/>
          <w:szCs w:val="24"/>
        </w:rPr>
        <w:t>: Linear regression output for Brazil’s TG rate (% of total import)</w:t>
      </w:r>
    </w:p>
    <w:p w14:paraId="000000F4"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testing:</w:t>
      </w:r>
    </w:p>
    <w:p w14:paraId="000000F5"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level: </w:t>
      </w:r>
      <m:oMath>
        <m:r>
          <w:rPr>
            <w:rFonts w:ascii="Cambria Math" w:hAnsi="Cambria Math"/>
          </w:rPr>
          <m:t>α</m:t>
        </m:r>
        <m:r>
          <w:rPr>
            <w:rFonts w:ascii="Times New Roman" w:eastAsia="Times New Roman" w:hAnsi="Times New Roman" w:cs="Times New Roman"/>
            <w:sz w:val="24"/>
            <w:szCs w:val="24"/>
          </w:rPr>
          <m:t xml:space="preserve"> = 0,05</m:t>
        </m:r>
      </m:oMath>
    </w:p>
    <w:p w14:paraId="000000F6"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 xml:space="preserve">0  </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m:t>
            </m:r>
          </m:e>
          <m:sub/>
        </m:sSub>
      </m:oMath>
      <w:r>
        <w:rPr>
          <w:rFonts w:ascii="Times New Roman" w:eastAsia="Times New Roman" w:hAnsi="Times New Roman" w:cs="Times New Roman"/>
          <w:sz w:val="24"/>
          <w:szCs w:val="24"/>
        </w:rPr>
        <w:t>(There is no linear trend)</w:t>
      </w:r>
    </w:p>
    <w:p w14:paraId="000000F7"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 </m:t>
        </m:r>
      </m:oMath>
      <w:r>
        <w:rPr>
          <w:rFonts w:ascii="Times New Roman" w:eastAsia="Times New Roman" w:hAnsi="Times New Roman" w:cs="Times New Roman"/>
          <w:sz w:val="24"/>
          <w:szCs w:val="24"/>
        </w:rPr>
        <w:t>(There is linear trend)</w:t>
      </w:r>
    </w:p>
    <w:p w14:paraId="000000F8" w14:textId="77777777" w:rsidR="00BF21AC" w:rsidRDefault="00460E2B">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P-value i</w:t>
      </w:r>
      <w:r>
        <w:rPr>
          <w:rFonts w:ascii="Times New Roman" w:eastAsia="Times New Roman" w:hAnsi="Times New Roman" w:cs="Times New Roman"/>
          <w:sz w:val="24"/>
          <w:szCs w:val="24"/>
        </w:rPr>
        <w:t xml:space="preserve">s smaller than </w:t>
      </w:r>
      <m:oMath>
        <m:r>
          <w:rPr>
            <w:rFonts w:ascii="Cambria Math" w:hAnsi="Cambria Math"/>
          </w:rPr>
          <m:t>α</m:t>
        </m:r>
        <m:r>
          <w:rPr>
            <w:rFonts w:ascii="Times New Roman" w:eastAsia="Times New Roman" w:hAnsi="Times New Roman" w:cs="Times New Roman"/>
            <w:sz w:val="24"/>
            <w:szCs w:val="24"/>
          </w:rPr>
          <m:t xml:space="preserve"> (0.001 &lt; 0.05)</m:t>
        </m:r>
      </m:oMath>
      <w:r>
        <w:rPr>
          <w:rFonts w:ascii="Times New Roman" w:eastAsia="Times New Roman" w:hAnsi="Times New Roman" w:cs="Times New Roman"/>
          <w:sz w:val="24"/>
          <w:szCs w:val="24"/>
        </w:rPr>
        <w:t>, it can be seen that we can reject null hypothesis Ho. Thus, we have confidence that Brazil's TG rate has a linear trend model.</w:t>
      </w:r>
    </w:p>
    <w:p w14:paraId="000000F9"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linear formula and coefficient explaining: </w:t>
      </w:r>
    </w:p>
    <w:p w14:paraId="000000FA" w14:textId="77777777" w:rsidR="00BF21AC" w:rsidRDefault="00460E2B">
      <w:pPr>
        <w:spacing w:before="240" w:after="240"/>
        <w:ind w:left="720"/>
        <w:jc w:val="both"/>
        <w:rPr>
          <w:rFonts w:ascii="Times New Roman" w:eastAsia="Times New Roman" w:hAnsi="Times New Roman" w:cs="Times New Roman"/>
          <w:sz w:val="24"/>
          <w:szCs w:val="24"/>
        </w:rPr>
      </w:pPr>
      <m:oMathPara>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 xml:space="preserve"> = 5,15 + 0,175(</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oMath>
      </m:oMathPara>
    </w:p>
    <w:p w14:paraId="000000FB"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 increases, Brazil's TG rate is expected to increase 0,175% yearly in the future.</w:t>
      </w:r>
    </w:p>
    <w:p w14:paraId="000000FC" w14:textId="77777777" w:rsidR="00BF21AC" w:rsidRDefault="00460E2B">
      <w:pPr>
        <w:numPr>
          <w:ilvl w:val="0"/>
          <w:numId w:val="5"/>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Quadratic </w:t>
      </w:r>
    </w:p>
    <w:p w14:paraId="000000FD"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013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4013200"/>
                    </a:xfrm>
                    <a:prstGeom prst="rect">
                      <a:avLst/>
                    </a:prstGeom>
                    <a:ln/>
                  </pic:spPr>
                </pic:pic>
              </a:graphicData>
            </a:graphic>
          </wp:inline>
        </w:drawing>
      </w:r>
    </w:p>
    <w:p w14:paraId="000000FE"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8</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Quadratic regression output for Brazilian TG rate (% of total import)</w:t>
      </w:r>
    </w:p>
    <w:p w14:paraId="000000FF"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Testing</w:t>
      </w:r>
    </w:p>
    <w:p w14:paraId="00000100"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level: </w:t>
      </w:r>
      <m:oMath>
        <m:r>
          <w:rPr>
            <w:rFonts w:ascii="Cambria Math" w:hAnsi="Cambria Math"/>
          </w:rPr>
          <m:t>α</m:t>
        </m:r>
        <m:r>
          <w:rPr>
            <w:rFonts w:ascii="Times New Roman" w:eastAsia="Times New Roman" w:hAnsi="Times New Roman" w:cs="Times New Roman"/>
            <w:sz w:val="24"/>
            <w:szCs w:val="24"/>
          </w:rPr>
          <m:t xml:space="preserve"> = 0,05</m:t>
        </m:r>
      </m:oMath>
    </w:p>
    <w:p w14:paraId="00000101" w14:textId="143EB0D8"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 xml:space="preserve">0  </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m:t>
            </m:r>
            <m:r>
              <w:rPr>
                <w:rFonts w:ascii="Cambria Math" w:eastAsia="Times New Roman" w:hAnsi="Cambria Math" w:cs="Times New Roman"/>
                <w:sz w:val="24"/>
                <w:szCs w:val="24"/>
              </w:rPr>
              <m:t>0</m:t>
            </m:r>
          </m:e>
          <m:sub/>
        </m:sSub>
      </m:oMath>
      <w:r>
        <w:rPr>
          <w:rFonts w:ascii="Times New Roman" w:eastAsia="Times New Roman" w:hAnsi="Times New Roman" w:cs="Times New Roman"/>
          <w:sz w:val="24"/>
          <w:szCs w:val="24"/>
        </w:rPr>
        <w:t>(There is no q</w:t>
      </w:r>
      <w:proofErr w:type="spellStart"/>
      <w:r>
        <w:rPr>
          <w:rFonts w:ascii="Times New Roman" w:eastAsia="Times New Roman" w:hAnsi="Times New Roman" w:cs="Times New Roman"/>
          <w:sz w:val="24"/>
          <w:szCs w:val="24"/>
        </w:rPr>
        <w:t>uadratic</w:t>
      </w:r>
      <w:proofErr w:type="spellEnd"/>
      <w:r>
        <w:rPr>
          <w:rFonts w:ascii="Times New Roman" w:eastAsia="Times New Roman" w:hAnsi="Times New Roman" w:cs="Times New Roman"/>
          <w:sz w:val="24"/>
          <w:szCs w:val="24"/>
        </w:rPr>
        <w:t xml:space="preserve"> trend)</w:t>
      </w:r>
    </w:p>
    <w:p w14:paraId="00000102"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 </m:t>
        </m:r>
      </m:oMath>
      <w:r>
        <w:rPr>
          <w:rFonts w:ascii="Times New Roman" w:eastAsia="Times New Roman" w:hAnsi="Times New Roman" w:cs="Times New Roman"/>
          <w:sz w:val="24"/>
          <w:szCs w:val="24"/>
        </w:rPr>
        <w:t>(There is quadratic trend)</w:t>
      </w:r>
    </w:p>
    <w:p w14:paraId="00000103" w14:textId="77777777" w:rsidR="00BF21AC" w:rsidRDefault="00460E2B">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figure above, we can inform that both P-value for T and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T</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are smaller than </w:t>
      </w:r>
      <m:oMath>
        <m:r>
          <w:rPr>
            <w:rFonts w:ascii="Cambria Math" w:hAnsi="Cambria Math"/>
          </w:rPr>
          <m:t>α</m:t>
        </m:r>
      </m:oMath>
      <w:r>
        <w:rPr>
          <w:rFonts w:ascii="Times New Roman" w:eastAsia="Times New Roman" w:hAnsi="Times New Roman" w:cs="Times New Roman"/>
          <w:sz w:val="24"/>
          <w:szCs w:val="24"/>
        </w:rPr>
        <w:t xml:space="preserve">, which are 0,024 &lt; 0,05 and 0,0013 &lt; 0,05 respectively. Hence, we can conclude that null hypothesis Ho can be </w:t>
      </w:r>
      <w:r>
        <w:rPr>
          <w:rFonts w:ascii="Times New Roman" w:eastAsia="Times New Roman" w:hAnsi="Times New Roman" w:cs="Times New Roman"/>
          <w:sz w:val="24"/>
          <w:szCs w:val="24"/>
        </w:rPr>
        <w:t xml:space="preserve">rejected, Brazilian tourism growth rate may follow quadratic trend model. </w:t>
      </w:r>
    </w:p>
    <w:p w14:paraId="00000104" w14:textId="77777777" w:rsidR="00BF21AC" w:rsidRDefault="00460E2B">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quadratic formula and coefficient </w:t>
      </w:r>
      <w:proofErr w:type="spellStart"/>
      <w:r>
        <w:rPr>
          <w:rFonts w:ascii="Times New Roman" w:eastAsia="Times New Roman" w:hAnsi="Times New Roman" w:cs="Times New Roman"/>
          <w:sz w:val="24"/>
          <w:szCs w:val="24"/>
        </w:rPr>
        <w:t>interperting</w:t>
      </w:r>
      <w:proofErr w:type="spellEnd"/>
    </w:p>
    <w:p w14:paraId="00000105" w14:textId="77777777" w:rsidR="00BF21AC" w:rsidRDefault="00460E2B">
      <w:pPr>
        <w:spacing w:before="240" w:after="240"/>
        <w:ind w:left="720"/>
        <w:jc w:val="both"/>
        <w:rPr>
          <w:rFonts w:ascii="Times New Roman" w:eastAsia="Times New Roman" w:hAnsi="Times New Roman" w:cs="Times New Roman"/>
          <w:sz w:val="24"/>
          <w:szCs w:val="24"/>
        </w:rPr>
      </w:pPr>
      <m:oMathPara>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 7,19 - 0,36(</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 + 0,024(</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T</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oMath>
      </m:oMathPara>
    </w:p>
    <w:p w14:paraId="00000106" w14:textId="77777777" w:rsidR="00BF21AC" w:rsidRDefault="00460E2B">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Brazil tourism growth rate expected to be 7,19 % at original time (T = 0). However, when T change</w:t>
      </w:r>
      <w:r>
        <w:rPr>
          <w:rFonts w:ascii="Times New Roman" w:eastAsia="Times New Roman" w:hAnsi="Times New Roman" w:cs="Times New Roman"/>
          <w:sz w:val="24"/>
          <w:szCs w:val="24"/>
        </w:rPr>
        <w:t xml:space="preserve">,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T</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also change its value. For this reason, we need to apply a deviation rule in order to find Y.</w:t>
      </w:r>
    </w:p>
    <w:p w14:paraId="00000107"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First deviation: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Y</m:t>
            </m:r>
            <m:r>
              <w:rPr>
                <w:rFonts w:ascii="Times New Roman" w:eastAsia="Times New Roman" w:hAnsi="Times New Roman" w:cs="Times New Roman"/>
                <w:sz w:val="24"/>
                <w:szCs w:val="24"/>
              </w:rPr>
              <m:t>'= -0,36 + 2*0,024(</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e>
          <m:sup/>
        </m:sSup>
      </m:oMath>
    </w:p>
    <w:p w14:paraId="00000108"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deviation: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Y</m:t>
            </m:r>
            <m:r>
              <w:rPr>
                <w:rFonts w:ascii="Times New Roman" w:eastAsia="Times New Roman" w:hAnsi="Times New Roman" w:cs="Times New Roman"/>
                <w:sz w:val="24"/>
                <w:szCs w:val="24"/>
              </w:rPr>
              <m:t>''=</m:t>
            </m:r>
          </m:e>
          <m:sup/>
        </m:sSup>
        <m:r>
          <w:rPr>
            <w:rFonts w:ascii="Times New Roman" w:eastAsia="Times New Roman" w:hAnsi="Times New Roman" w:cs="Times New Roman"/>
            <w:sz w:val="24"/>
            <w:szCs w:val="24"/>
          </w:rPr>
          <m:t xml:space="preserve">2 * 0,024 = 0,048 </m:t>
        </m:r>
      </m:oMath>
    </w:p>
    <w:p w14:paraId="00000109" w14:textId="77777777" w:rsidR="00BF21AC" w:rsidRDefault="00460E2B">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deviation value is 0,048, which means that if T changes by 1 </w:t>
      </w:r>
      <w:r>
        <w:rPr>
          <w:rFonts w:ascii="Times New Roman" w:eastAsia="Times New Roman" w:hAnsi="Times New Roman" w:cs="Times New Roman"/>
          <w:sz w:val="24"/>
          <w:szCs w:val="24"/>
        </w:rPr>
        <w:t xml:space="preserve">unit, the Brazilian tourism growth will change from </w:t>
      </w:r>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oMath>
      <w:r>
        <w:rPr>
          <w:rFonts w:ascii="Times New Roman" w:eastAsia="Times New Roman" w:hAnsi="Times New Roman" w:cs="Times New Roman"/>
          <w:sz w:val="24"/>
          <w:szCs w:val="24"/>
        </w:rPr>
        <w:t xml:space="preserve"> to </w:t>
      </w:r>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r>
              <w:rPr>
                <w:rFonts w:ascii="Times New Roman" w:eastAsia="Times New Roman" w:hAnsi="Times New Roman" w:cs="Times New Roman"/>
                <w:sz w:val="24"/>
                <w:szCs w:val="24"/>
              </w:rPr>
              <m:t>''</m:t>
            </m:r>
          </m:e>
        </m:acc>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which indicates that Brazil’s TG rate will increase in the future. </w:t>
      </w:r>
    </w:p>
    <w:p w14:paraId="0000010A" w14:textId="77777777" w:rsidR="00BF21AC" w:rsidRDefault="00460E2B">
      <w:pPr>
        <w:numPr>
          <w:ilvl w:val="0"/>
          <w:numId w:val="5"/>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Exponential</w:t>
      </w:r>
    </w:p>
    <w:p w14:paraId="0000010B"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4445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4445000"/>
                    </a:xfrm>
                    <a:prstGeom prst="rect">
                      <a:avLst/>
                    </a:prstGeom>
                    <a:ln/>
                  </pic:spPr>
                </pic:pic>
              </a:graphicData>
            </a:graphic>
          </wp:inline>
        </w:drawing>
      </w:r>
    </w:p>
    <w:p w14:paraId="0000010C"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9</w:t>
      </w:r>
      <w:r>
        <w:rPr>
          <w:rFonts w:ascii="Times New Roman" w:eastAsia="Times New Roman" w:hAnsi="Times New Roman" w:cs="Times New Roman"/>
          <w:sz w:val="24"/>
          <w:szCs w:val="24"/>
        </w:rPr>
        <w:t>: Exponential regression output for Brazil’s tourism growth rate (% of total import)</w:t>
      </w:r>
    </w:p>
    <w:p w14:paraId="0000010D"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Testing</w:t>
      </w:r>
    </w:p>
    <w:p w14:paraId="0000010E"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level: </w:t>
      </w:r>
      <m:oMath>
        <m:r>
          <w:rPr>
            <w:rFonts w:ascii="Cambria Math" w:hAnsi="Cambria Math"/>
          </w:rPr>
          <m:t>α</m:t>
        </m:r>
        <m:r>
          <w:rPr>
            <w:rFonts w:ascii="Times New Roman" w:eastAsia="Times New Roman" w:hAnsi="Times New Roman" w:cs="Times New Roman"/>
            <w:sz w:val="24"/>
            <w:szCs w:val="24"/>
          </w:rPr>
          <m:t xml:space="preserve"> = 0,05</m:t>
        </m:r>
      </m:oMath>
    </w:p>
    <w:p w14:paraId="0000010F"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 xml:space="preserve">0  </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m:t>
            </m:r>
          </m:e>
          <m:sub/>
        </m:sSub>
      </m:oMath>
      <w:r>
        <w:rPr>
          <w:rFonts w:ascii="Times New Roman" w:eastAsia="Times New Roman" w:hAnsi="Times New Roman" w:cs="Times New Roman"/>
          <w:sz w:val="24"/>
          <w:szCs w:val="24"/>
        </w:rPr>
        <w:t>(There is no exponential trend)</w:t>
      </w:r>
    </w:p>
    <w:p w14:paraId="00000110"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 </m:t>
        </m:r>
      </m:oMath>
      <w:r>
        <w:rPr>
          <w:rFonts w:ascii="Times New Roman" w:eastAsia="Times New Roman" w:hAnsi="Times New Roman" w:cs="Times New Roman"/>
          <w:sz w:val="24"/>
          <w:szCs w:val="24"/>
        </w:rPr>
        <w:t>(There is exponential trend)</w:t>
      </w:r>
    </w:p>
    <w:p w14:paraId="00000111" w14:textId="77777777" w:rsidR="00BF21AC" w:rsidRDefault="00460E2B">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p-value for Time Period (T) is smaller than </w:t>
      </w:r>
      <m:oMath>
        <m:r>
          <w:rPr>
            <w:rFonts w:ascii="Cambria Math" w:hAnsi="Cambria Math"/>
          </w:rPr>
          <m:t>α</m:t>
        </m:r>
      </m:oMath>
      <w:r>
        <w:rPr>
          <w:rFonts w:ascii="Times New Roman" w:eastAsia="Times New Roman" w:hAnsi="Times New Roman" w:cs="Times New Roman"/>
          <w:sz w:val="24"/>
          <w:szCs w:val="24"/>
        </w:rPr>
        <w:t xml:space="preserve"> (0,0018 &lt; 0,05). For this reason, we can reject Ho, which means that exponential trend is significant for Brazil’s tourism growth rate. </w:t>
      </w:r>
    </w:p>
    <w:p w14:paraId="00000112"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exponential formula and coefficient explaining</w:t>
      </w:r>
    </w:p>
    <w:p w14:paraId="00000113"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Linear format: </w:t>
      </w:r>
      <m:oMath>
        <m:r>
          <w:rPr>
            <w:rFonts w:ascii="Times New Roman" w:eastAsia="Times New Roman" w:hAnsi="Times New Roman" w:cs="Times New Roman"/>
            <w:sz w:val="24"/>
            <w:szCs w:val="24"/>
          </w:rPr>
          <m:t>l</m:t>
        </m:r>
        <m:r>
          <w:rPr>
            <w:rFonts w:ascii="Times New Roman" w:eastAsia="Times New Roman" w:hAnsi="Times New Roman" w:cs="Times New Roman"/>
            <w:sz w:val="24"/>
            <w:szCs w:val="24"/>
          </w:rPr>
          <m:t>og</m:t>
        </m:r>
        <m:r>
          <w:rPr>
            <w:rFonts w:ascii="Times New Roman" w:eastAsia="Times New Roman" w:hAnsi="Times New Roman" w:cs="Times New Roman"/>
            <w:sz w:val="24"/>
            <w:szCs w:val="24"/>
          </w:rPr>
          <m:t>(</m:t>
        </m:r>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 0,719 + 0,01(</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oMath>
    </w:p>
    <w:p w14:paraId="00000114"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Non-linear format: </w:t>
      </w:r>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0,719</m:t>
            </m:r>
          </m:sup>
        </m:sSup>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0,01(</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sup>
        </m:sSup>
        <m:r>
          <w:rPr>
            <w:rFonts w:ascii="Times New Roman" w:eastAsia="Times New Roman" w:hAnsi="Times New Roman" w:cs="Times New Roman"/>
            <w:sz w:val="24"/>
            <w:szCs w:val="24"/>
          </w:rPr>
          <m:t>= 5,23×</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1,02</m:t>
            </m:r>
          </m:e>
          <m:sup>
            <m:r>
              <w:rPr>
                <w:rFonts w:ascii="Times New Roman" w:eastAsia="Times New Roman" w:hAnsi="Times New Roman" w:cs="Times New Roman"/>
                <w:sz w:val="24"/>
                <w:szCs w:val="24"/>
              </w:rPr>
              <m:t>(</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sup>
        </m:sSup>
      </m:oMath>
      <w:r>
        <w:rPr>
          <w:rFonts w:ascii="Times New Roman" w:eastAsia="Times New Roman" w:hAnsi="Times New Roman" w:cs="Times New Roman"/>
          <w:sz w:val="24"/>
          <w:szCs w:val="24"/>
        </w:rPr>
        <w:t xml:space="preserve"> </w:t>
      </w:r>
    </w:p>
    <w:p w14:paraId="00000115"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 = 0, Brazilian tourism growth rate was expected to be 5,23%</w:t>
      </w:r>
    </w:p>
    <w:p w14:paraId="00000116"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=1,02</m:t>
        </m:r>
      </m:oMath>
      <w:r>
        <w:rPr>
          <w:rFonts w:ascii="Times New Roman" w:eastAsia="Times New Roman" w:hAnsi="Times New Roman" w:cs="Times New Roman"/>
          <w:sz w:val="24"/>
          <w:szCs w:val="24"/>
        </w:rPr>
        <w:t xml:space="preserve">, the Brazil’s tourism growth rate is expected to rise by </w:t>
      </w:r>
      <m:oMath>
        <m:r>
          <w:rPr>
            <w:rFonts w:ascii="Times New Roman" w:eastAsia="Times New Roman" w:hAnsi="Times New Roman" w:cs="Times New Roman"/>
            <w:sz w:val="24"/>
            <w:szCs w:val="24"/>
          </w:rPr>
          <m:t xml:space="preserve">(1,02-1)×100%=2% </m:t>
        </m:r>
      </m:oMath>
      <w:r>
        <w:rPr>
          <w:rFonts w:ascii="Times New Roman" w:eastAsia="Times New Roman" w:hAnsi="Times New Roman" w:cs="Times New Roman"/>
          <w:sz w:val="24"/>
          <w:szCs w:val="24"/>
        </w:rPr>
        <w:t>yearly in the futur</w:t>
      </w:r>
      <w:r>
        <w:rPr>
          <w:rFonts w:ascii="Times New Roman" w:eastAsia="Times New Roman" w:hAnsi="Times New Roman" w:cs="Times New Roman"/>
          <w:sz w:val="24"/>
          <w:szCs w:val="24"/>
        </w:rPr>
        <w:t>e.</w:t>
      </w:r>
    </w:p>
    <w:p w14:paraId="00000117" w14:textId="77777777" w:rsidR="00BF21AC" w:rsidRDefault="00460E2B">
      <w:pPr>
        <w:pStyle w:val="Heading2"/>
        <w:spacing w:before="240" w:after="240"/>
        <w:jc w:val="both"/>
        <w:rPr>
          <w:rFonts w:ascii="Times New Roman" w:eastAsia="Times New Roman" w:hAnsi="Times New Roman" w:cs="Times New Roman"/>
          <w:b/>
          <w:sz w:val="24"/>
          <w:szCs w:val="24"/>
          <w:highlight w:val="yellow"/>
        </w:rPr>
      </w:pPr>
      <w:bookmarkStart w:id="16" w:name="_q0r5btfnzsxx" w:colFirst="0" w:colLast="0"/>
      <w:bookmarkEnd w:id="16"/>
      <w:r>
        <w:rPr>
          <w:rFonts w:ascii="Times New Roman" w:eastAsia="Times New Roman" w:hAnsi="Times New Roman" w:cs="Times New Roman"/>
          <w:b/>
          <w:sz w:val="24"/>
          <w:szCs w:val="24"/>
          <w:highlight w:val="yellow"/>
        </w:rPr>
        <w:t>3. New Zealand</w:t>
      </w:r>
    </w:p>
    <w:p w14:paraId="00000118" w14:textId="77777777" w:rsidR="00BF21AC" w:rsidRDefault="00460E2B">
      <w:pPr>
        <w:numPr>
          <w:ilvl w:val="0"/>
          <w:numId w:val="7"/>
        </w:numPr>
        <w:spacing w:before="240" w:after="240"/>
        <w:ind w:left="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w:t>
      </w:r>
    </w:p>
    <w:p w14:paraId="00000119" w14:textId="77777777" w:rsidR="00BF21AC" w:rsidRDefault="00460E2B">
      <w:pPr>
        <w:spacing w:before="240" w:after="240"/>
        <w:ind w:hanging="3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606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606800"/>
                    </a:xfrm>
                    <a:prstGeom prst="rect">
                      <a:avLst/>
                    </a:prstGeom>
                    <a:ln/>
                  </pic:spPr>
                </pic:pic>
              </a:graphicData>
            </a:graphic>
          </wp:inline>
        </w:drawing>
      </w:r>
    </w:p>
    <w:p w14:paraId="0000011A" w14:textId="77777777" w:rsidR="00BF21AC" w:rsidRDefault="00BF21AC">
      <w:pPr>
        <w:spacing w:before="240" w:after="240"/>
        <w:ind w:left="1440"/>
        <w:jc w:val="both"/>
        <w:rPr>
          <w:rFonts w:ascii="Times New Roman" w:eastAsia="Times New Roman" w:hAnsi="Times New Roman" w:cs="Times New Roman"/>
          <w:sz w:val="24"/>
          <w:szCs w:val="24"/>
        </w:rPr>
      </w:pPr>
    </w:p>
    <w:p w14:paraId="0000011B" w14:textId="44130C6F"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10:</w:t>
      </w:r>
      <w:r>
        <w:rPr>
          <w:rFonts w:ascii="Times New Roman" w:eastAsia="Times New Roman" w:hAnsi="Times New Roman" w:cs="Times New Roman"/>
          <w:sz w:val="24"/>
          <w:szCs w:val="24"/>
        </w:rPr>
        <w:t xml:space="preserve"> Linear regression output for NZ tourism grow</w:t>
      </w:r>
      <w:r>
        <w:rPr>
          <w:rFonts w:ascii="Times New Roman" w:eastAsia="Times New Roman" w:hAnsi="Times New Roman" w:cs="Times New Roman"/>
          <w:sz w:val="24"/>
          <w:szCs w:val="24"/>
        </w:rPr>
        <w:t>th rate (% of total import)</w:t>
      </w:r>
    </w:p>
    <w:p w14:paraId="0000011C"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Testing</w:t>
      </w:r>
    </w:p>
    <w:p w14:paraId="0000011D" w14:textId="77777777" w:rsidR="00BF21AC" w:rsidRDefault="00460E2B">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level: </w:t>
      </w:r>
      <m:oMath>
        <m:r>
          <w:rPr>
            <w:rFonts w:ascii="Cambria Math" w:hAnsi="Cambria Math"/>
          </w:rPr>
          <m:t>α</m:t>
        </m:r>
        <m:r>
          <w:rPr>
            <w:rFonts w:ascii="Times New Roman" w:eastAsia="Times New Roman" w:hAnsi="Times New Roman" w:cs="Times New Roman"/>
            <w:sz w:val="24"/>
            <w:szCs w:val="24"/>
          </w:rPr>
          <m:t xml:space="preserve"> = 0,05</m:t>
        </m:r>
      </m:oMath>
    </w:p>
    <w:p w14:paraId="0000011E" w14:textId="77777777" w:rsidR="00BF21AC" w:rsidRDefault="00460E2B">
      <w:pPr>
        <w:spacing w:before="240" w:after="240"/>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 xml:space="preserve">0  </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m:t>
            </m:r>
          </m:e>
          <m:sub/>
        </m:sSub>
      </m:oMath>
      <w:r>
        <w:rPr>
          <w:rFonts w:ascii="Times New Roman" w:eastAsia="Times New Roman" w:hAnsi="Times New Roman" w:cs="Times New Roman"/>
          <w:sz w:val="24"/>
          <w:szCs w:val="24"/>
        </w:rPr>
        <w:t>(There is no linear trend)</w:t>
      </w:r>
    </w:p>
    <w:p w14:paraId="0000011F" w14:textId="77777777" w:rsidR="00BF21AC" w:rsidRDefault="00460E2B">
      <w:pPr>
        <w:spacing w:before="240" w:after="240"/>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 </m:t>
        </m:r>
      </m:oMath>
      <w:r>
        <w:rPr>
          <w:rFonts w:ascii="Times New Roman" w:eastAsia="Times New Roman" w:hAnsi="Times New Roman" w:cs="Times New Roman"/>
          <w:sz w:val="24"/>
          <w:szCs w:val="24"/>
        </w:rPr>
        <w:t>(There is linear trend)</w:t>
      </w:r>
    </w:p>
    <w:p w14:paraId="00000120"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P-value for Time Period (T) is much smaller than </w:t>
      </w:r>
      <m:oMath>
        <m:r>
          <w:rPr>
            <w:rFonts w:ascii="Cambria Math" w:hAnsi="Cambria Math"/>
          </w:rPr>
          <m:t>α</m:t>
        </m:r>
      </m:oMath>
      <w:r>
        <w:rPr>
          <w:rFonts w:ascii="Times New Roman" w:eastAsia="Times New Roman" w:hAnsi="Times New Roman" w:cs="Times New Roman"/>
          <w:sz w:val="24"/>
          <w:szCs w:val="24"/>
        </w:rPr>
        <w:t xml:space="preserve">  (0,001 </w:t>
      </w:r>
      <w:proofErr w:type="gramStart"/>
      <w:r>
        <w:rPr>
          <w:rFonts w:ascii="Times New Roman" w:eastAsia="Times New Roman" w:hAnsi="Times New Roman" w:cs="Times New Roman"/>
          <w:sz w:val="24"/>
          <w:szCs w:val="24"/>
        </w:rPr>
        <w:t>&lt;  0</w:t>
      </w:r>
      <w:proofErr w:type="gramEnd"/>
      <w:r>
        <w:rPr>
          <w:rFonts w:ascii="Times New Roman" w:eastAsia="Times New Roman" w:hAnsi="Times New Roman" w:cs="Times New Roman"/>
          <w:sz w:val="24"/>
          <w:szCs w:val="24"/>
        </w:rPr>
        <w:t xml:space="preserve">,05). Hence, we can conclude that Ho can be rejected, NZ tourism growth rate follows the linear trend model. </w:t>
      </w:r>
    </w:p>
    <w:p w14:paraId="00000121"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linear formula and coefficient explaining:</w:t>
      </w:r>
    </w:p>
    <w:p w14:paraId="00000122" w14:textId="77777777" w:rsidR="00BF21AC" w:rsidRDefault="00460E2B">
      <w:pPr>
        <w:spacing w:before="240" w:after="240"/>
        <w:jc w:val="both"/>
        <w:rPr>
          <w:rFonts w:ascii="Times New Roman" w:eastAsia="Times New Roman" w:hAnsi="Times New Roman" w:cs="Times New Roman"/>
          <w:sz w:val="24"/>
          <w:szCs w:val="24"/>
        </w:rPr>
      </w:pPr>
      <m:oMathPara>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 7,04 + 0,04(</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oMath>
      </m:oMathPara>
    </w:p>
    <w:p w14:paraId="00000123"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 increases by 1 unit (year), the NZ tourism growth (TG) rate i</w:t>
      </w:r>
      <w:r>
        <w:rPr>
          <w:rFonts w:ascii="Times New Roman" w:eastAsia="Times New Roman" w:hAnsi="Times New Roman" w:cs="Times New Roman"/>
          <w:sz w:val="24"/>
          <w:szCs w:val="24"/>
        </w:rPr>
        <w:t xml:space="preserve">s estimated to rise 0,04% yearly in the future. </w:t>
      </w:r>
    </w:p>
    <w:p w14:paraId="00000124" w14:textId="77777777" w:rsidR="00BF21AC" w:rsidRDefault="00460E2B">
      <w:pPr>
        <w:numPr>
          <w:ilvl w:val="0"/>
          <w:numId w:val="7"/>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Quadratic</w:t>
      </w:r>
    </w:p>
    <w:p w14:paraId="00000125"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187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187700"/>
                    </a:xfrm>
                    <a:prstGeom prst="rect">
                      <a:avLst/>
                    </a:prstGeom>
                    <a:ln/>
                  </pic:spPr>
                </pic:pic>
              </a:graphicData>
            </a:graphic>
          </wp:inline>
        </w:drawing>
      </w:r>
    </w:p>
    <w:p w14:paraId="00000126"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11</w:t>
      </w:r>
      <w:r>
        <w:rPr>
          <w:rFonts w:ascii="Times New Roman" w:eastAsia="Times New Roman" w:hAnsi="Times New Roman" w:cs="Times New Roman"/>
          <w:sz w:val="24"/>
          <w:szCs w:val="24"/>
        </w:rPr>
        <w:t>: Quadratic regression output for NZ tourism growth rate (% of total import)</w:t>
      </w:r>
    </w:p>
    <w:p w14:paraId="00000127"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Significance testing: </w:t>
      </w:r>
    </w:p>
    <w:p w14:paraId="00000128"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level: </w:t>
      </w:r>
      <m:oMath>
        <m:r>
          <w:rPr>
            <w:rFonts w:ascii="Cambria Math" w:hAnsi="Cambria Math"/>
          </w:rPr>
          <m:t>α</m:t>
        </m:r>
        <m:r>
          <w:rPr>
            <w:rFonts w:ascii="Times New Roman" w:eastAsia="Times New Roman" w:hAnsi="Times New Roman" w:cs="Times New Roman"/>
            <w:sz w:val="24"/>
            <w:szCs w:val="24"/>
          </w:rPr>
          <m:t xml:space="preserve"> = 0,05</m:t>
        </m:r>
      </m:oMath>
    </w:p>
    <w:p w14:paraId="00000129"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 xml:space="preserve">0  </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m:t>
            </m:r>
          </m:e>
          <m:sub/>
        </m:sSub>
      </m:oMath>
      <w:r>
        <w:rPr>
          <w:rFonts w:ascii="Times New Roman" w:eastAsia="Times New Roman" w:hAnsi="Times New Roman" w:cs="Times New Roman"/>
          <w:sz w:val="24"/>
          <w:szCs w:val="24"/>
        </w:rPr>
        <w:t>(There is no quadratic trend)</w:t>
      </w:r>
    </w:p>
    <w:p w14:paraId="0000012A"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 </m:t>
        </m:r>
      </m:oMath>
      <w:r>
        <w:rPr>
          <w:rFonts w:ascii="Times New Roman" w:eastAsia="Times New Roman" w:hAnsi="Times New Roman" w:cs="Times New Roman"/>
          <w:sz w:val="24"/>
          <w:szCs w:val="24"/>
        </w:rPr>
        <w:t>(There is quadratic trend)</w:t>
      </w:r>
    </w:p>
    <w:p w14:paraId="0000012B"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figure above, we can inform that both p-value for T and T^2 are much higher than the confidence level  </w:t>
      </w:r>
      <m:oMath>
        <m:r>
          <w:rPr>
            <w:rFonts w:ascii="Cambria Math" w:hAnsi="Cambria Math"/>
          </w:rPr>
          <m:t>α</m:t>
        </m:r>
      </m:oMath>
      <w:r>
        <w:rPr>
          <w:rFonts w:ascii="Times New Roman" w:eastAsia="Times New Roman" w:hAnsi="Times New Roman" w:cs="Times New Roman"/>
          <w:sz w:val="24"/>
          <w:szCs w:val="24"/>
        </w:rPr>
        <w:t xml:space="preserve">, which are 0,81 &gt; 0,05 and 0,56 &gt; 0,53 respectively. Hence, we cannot </w:t>
      </w:r>
      <w:r>
        <w:rPr>
          <w:rFonts w:ascii="Times New Roman" w:eastAsia="Times New Roman" w:hAnsi="Times New Roman" w:cs="Times New Roman"/>
          <w:sz w:val="24"/>
          <w:szCs w:val="24"/>
        </w:rPr>
        <w:t>reject Ho, the quadratic trend doesn’t occur in NZ’s TG rate.</w:t>
      </w:r>
    </w:p>
    <w:p w14:paraId="0000012C" w14:textId="77777777" w:rsidR="00BF21AC" w:rsidRDefault="00460E2B">
      <w:pPr>
        <w:numPr>
          <w:ilvl w:val="0"/>
          <w:numId w:val="7"/>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Exponential</w:t>
      </w:r>
      <w:r>
        <w:rPr>
          <w:rFonts w:ascii="Times New Roman" w:eastAsia="Times New Roman" w:hAnsi="Times New Roman" w:cs="Times New Roman"/>
          <w:sz w:val="24"/>
          <w:szCs w:val="24"/>
        </w:rPr>
        <w:t xml:space="preserve"> </w:t>
      </w:r>
    </w:p>
    <w:p w14:paraId="0000012D"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4025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4025900"/>
                    </a:xfrm>
                    <a:prstGeom prst="rect">
                      <a:avLst/>
                    </a:prstGeom>
                    <a:ln/>
                  </pic:spPr>
                </pic:pic>
              </a:graphicData>
            </a:graphic>
          </wp:inline>
        </w:drawing>
      </w:r>
    </w:p>
    <w:p w14:paraId="0000012E"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12</w:t>
      </w:r>
      <w:r>
        <w:rPr>
          <w:rFonts w:ascii="Times New Roman" w:eastAsia="Times New Roman" w:hAnsi="Times New Roman" w:cs="Times New Roman"/>
          <w:sz w:val="24"/>
          <w:szCs w:val="24"/>
        </w:rPr>
        <w:t>: Exponential output for NZ tourism growth rate (% of total import)</w:t>
      </w:r>
    </w:p>
    <w:p w14:paraId="0000012F"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Testing:</w:t>
      </w:r>
    </w:p>
    <w:p w14:paraId="00000130" w14:textId="77777777" w:rsidR="00BF21AC" w:rsidRDefault="00460E2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level: </w:t>
      </w:r>
      <m:oMath>
        <m:r>
          <w:rPr>
            <w:rFonts w:ascii="Cambria Math" w:hAnsi="Cambria Math"/>
          </w:rPr>
          <m:t>α</m:t>
        </m:r>
        <m:r>
          <w:rPr>
            <w:rFonts w:ascii="Times New Roman" w:eastAsia="Times New Roman" w:hAnsi="Times New Roman" w:cs="Times New Roman"/>
            <w:sz w:val="24"/>
            <w:szCs w:val="24"/>
          </w:rPr>
          <m:t xml:space="preserve"> = 0,05</m:t>
        </m:r>
      </m:oMath>
    </w:p>
    <w:p w14:paraId="00000131"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 xml:space="preserve">0  </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m:t>
            </m:r>
          </m:e>
          <m:sub/>
        </m:sSub>
      </m:oMath>
      <w:r>
        <w:rPr>
          <w:rFonts w:ascii="Times New Roman" w:eastAsia="Times New Roman" w:hAnsi="Times New Roman" w:cs="Times New Roman"/>
          <w:sz w:val="24"/>
          <w:szCs w:val="24"/>
        </w:rPr>
        <w:t>(There is no exponential trend)</w:t>
      </w:r>
    </w:p>
    <w:p w14:paraId="00000132" w14:textId="77777777" w:rsidR="00BF21AC" w:rsidRDefault="00460E2B">
      <w:pPr>
        <w:spacing w:before="240" w:after="240"/>
        <w:ind w:left="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0 </m:t>
        </m:r>
      </m:oMath>
      <w:r>
        <w:rPr>
          <w:rFonts w:ascii="Times New Roman" w:eastAsia="Times New Roman" w:hAnsi="Times New Roman" w:cs="Times New Roman"/>
          <w:sz w:val="24"/>
          <w:szCs w:val="24"/>
        </w:rPr>
        <w:t>(There is exponential trend)</w:t>
      </w:r>
    </w:p>
    <w:p w14:paraId="00000133"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figure, we can inform that the P-value for the Time Period is smaller than the confidence level (0,001 &lt; 0,05). </w:t>
      </w:r>
      <w:proofErr w:type="spellStart"/>
      <w:proofErr w:type="gramStart"/>
      <w:r>
        <w:rPr>
          <w:rFonts w:ascii="Times New Roman" w:eastAsia="Times New Roman" w:hAnsi="Times New Roman" w:cs="Times New Roman"/>
          <w:sz w:val="24"/>
          <w:szCs w:val="24"/>
        </w:rPr>
        <w:t>Hence,we</w:t>
      </w:r>
      <w:proofErr w:type="spellEnd"/>
      <w:proofErr w:type="gramEnd"/>
      <w:r>
        <w:rPr>
          <w:rFonts w:ascii="Times New Roman" w:eastAsia="Times New Roman" w:hAnsi="Times New Roman" w:cs="Times New Roman"/>
          <w:sz w:val="24"/>
          <w:szCs w:val="24"/>
        </w:rPr>
        <w:t xml:space="preserve"> can reject Ho, the exponential trend model is significant in NZ’s TG rate. </w:t>
      </w:r>
    </w:p>
    <w:p w14:paraId="00000134"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exponenti</w:t>
      </w:r>
      <w:r>
        <w:rPr>
          <w:rFonts w:ascii="Times New Roman" w:eastAsia="Times New Roman" w:hAnsi="Times New Roman" w:cs="Times New Roman"/>
          <w:sz w:val="24"/>
          <w:szCs w:val="24"/>
        </w:rPr>
        <w:t>al formula and coefficient interpreting:</w:t>
      </w:r>
    </w:p>
    <w:p w14:paraId="00000135"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Linear format: </w:t>
      </w:r>
      <m:oMath>
        <m:r>
          <w:rPr>
            <w:rFonts w:ascii="Times New Roman" w:eastAsia="Times New Roman" w:hAnsi="Times New Roman" w:cs="Times New Roman"/>
            <w:sz w:val="24"/>
            <w:szCs w:val="24"/>
          </w:rPr>
          <m:t>log</m:t>
        </m:r>
        <m:r>
          <w:rPr>
            <w:rFonts w:ascii="Times New Roman" w:eastAsia="Times New Roman" w:hAnsi="Times New Roman" w:cs="Times New Roman"/>
            <w:sz w:val="24"/>
            <w:szCs w:val="24"/>
          </w:rPr>
          <m:t>(</m:t>
        </m:r>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)=0,848 + 0,002(</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oMath>
    </w:p>
    <w:p w14:paraId="00000136" w14:textId="77777777" w:rsidR="00BF21AC" w:rsidRDefault="00460E2B">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Non linear</w:t>
      </w:r>
      <w:proofErr w:type="spellEnd"/>
      <w:r>
        <w:rPr>
          <w:rFonts w:ascii="Times New Roman" w:eastAsia="Times New Roman" w:hAnsi="Times New Roman" w:cs="Times New Roman"/>
          <w:sz w:val="24"/>
          <w:szCs w:val="24"/>
        </w:rPr>
        <w:t xml:space="preserve"> format: </w:t>
      </w:r>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00,848</m:t>
            </m:r>
          </m:sup>
        </m:sSup>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0,002(</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sup>
        </m:sSup>
        <m:r>
          <w:rPr>
            <w:rFonts w:ascii="Times New Roman" w:eastAsia="Times New Roman" w:hAnsi="Times New Roman" w:cs="Times New Roman"/>
            <w:sz w:val="24"/>
            <w:szCs w:val="24"/>
          </w:rPr>
          <m:t>=7,05×</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1,006</m:t>
            </m:r>
          </m:e>
          <m:sup>
            <m:r>
              <w:rPr>
                <w:rFonts w:ascii="Times New Roman" w:eastAsia="Times New Roman" w:hAnsi="Times New Roman" w:cs="Times New Roman"/>
                <w:sz w:val="24"/>
                <w:szCs w:val="24"/>
              </w:rPr>
              <m:t>(</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sup>
        </m:sSup>
      </m:oMath>
    </w:p>
    <w:p w14:paraId="00000137"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when T = 0. NZ tourism growth rate was estimated to be 7,05%. In the future, this rate is expected to increase </w:t>
      </w:r>
      <m:oMath>
        <m:r>
          <w:rPr>
            <w:rFonts w:ascii="Times New Roman" w:eastAsia="Times New Roman" w:hAnsi="Times New Roman" w:cs="Times New Roman"/>
            <w:sz w:val="24"/>
            <w:szCs w:val="24"/>
          </w:rPr>
          <m:t>(1,006-1)×100%=0,6%</m:t>
        </m:r>
      </m:oMath>
      <w:r>
        <w:rPr>
          <w:rFonts w:ascii="Times New Roman" w:eastAsia="Times New Roman" w:hAnsi="Times New Roman" w:cs="Times New Roman"/>
          <w:sz w:val="24"/>
          <w:szCs w:val="24"/>
        </w:rPr>
        <w:t xml:space="preserve"> yearly in the future.</w:t>
      </w:r>
    </w:p>
    <w:p w14:paraId="00000138" w14:textId="77777777" w:rsidR="00BF21AC" w:rsidRDefault="00460E2B">
      <w:pPr>
        <w:pStyle w:val="Heading2"/>
        <w:spacing w:before="240" w:after="240"/>
        <w:jc w:val="both"/>
        <w:rPr>
          <w:rFonts w:ascii="Times New Roman" w:eastAsia="Times New Roman" w:hAnsi="Times New Roman" w:cs="Times New Roman"/>
          <w:b/>
          <w:sz w:val="24"/>
          <w:szCs w:val="24"/>
        </w:rPr>
      </w:pPr>
      <w:bookmarkStart w:id="17" w:name="_qqroogfrm7ec" w:colFirst="0" w:colLast="0"/>
      <w:bookmarkEnd w:id="17"/>
      <w:r>
        <w:rPr>
          <w:rFonts w:ascii="Times New Roman" w:eastAsia="Times New Roman" w:hAnsi="Times New Roman" w:cs="Times New Roman"/>
          <w:b/>
          <w:sz w:val="24"/>
          <w:szCs w:val="24"/>
        </w:rPr>
        <w:t>4. Trend model recommendation</w:t>
      </w:r>
    </w:p>
    <w:p w14:paraId="00000139"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deviation (MAD) and sum of squared errors (SSE</w:t>
      </w:r>
      <w:r>
        <w:rPr>
          <w:rFonts w:ascii="Times New Roman" w:eastAsia="Times New Roman" w:hAnsi="Times New Roman" w:cs="Times New Roman"/>
          <w:sz w:val="24"/>
          <w:szCs w:val="24"/>
        </w:rPr>
        <w:t>) must be compared to determine which model offers the fewest errors in order to choose an appropriate trend model for future predictions. Since there are no outliers in the dataset, we can compare using both MAD and SSE. In this circumstance, MAD is imple</w:t>
      </w:r>
      <w:r>
        <w:rPr>
          <w:rFonts w:ascii="Times New Roman" w:eastAsia="Times New Roman" w:hAnsi="Times New Roman" w:cs="Times New Roman"/>
          <w:sz w:val="24"/>
          <w:szCs w:val="24"/>
        </w:rPr>
        <w:t>mented.</w:t>
      </w:r>
    </w:p>
    <w:p w14:paraId="0000013A"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BF21AC" w14:paraId="02447062" w14:textId="77777777">
        <w:tc>
          <w:tcPr>
            <w:tcW w:w="2257" w:type="dxa"/>
            <w:shd w:val="clear" w:color="auto" w:fill="A2C4C9"/>
            <w:tcMar>
              <w:top w:w="100" w:type="dxa"/>
              <w:left w:w="100" w:type="dxa"/>
              <w:bottom w:w="100" w:type="dxa"/>
              <w:right w:w="100" w:type="dxa"/>
            </w:tcMar>
          </w:tcPr>
          <w:p w14:paraId="0000013B"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Countries</w:t>
            </w:r>
          </w:p>
        </w:tc>
        <w:tc>
          <w:tcPr>
            <w:tcW w:w="2257" w:type="dxa"/>
            <w:shd w:val="clear" w:color="auto" w:fill="A2C4C9"/>
            <w:tcMar>
              <w:top w:w="100" w:type="dxa"/>
              <w:left w:w="100" w:type="dxa"/>
              <w:bottom w:w="100" w:type="dxa"/>
              <w:right w:w="100" w:type="dxa"/>
            </w:tcMar>
          </w:tcPr>
          <w:p w14:paraId="0000013C"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tc>
        <w:tc>
          <w:tcPr>
            <w:tcW w:w="2257" w:type="dxa"/>
            <w:shd w:val="clear" w:color="auto" w:fill="A2C4C9"/>
            <w:tcMar>
              <w:top w:w="100" w:type="dxa"/>
              <w:left w:w="100" w:type="dxa"/>
              <w:bottom w:w="100" w:type="dxa"/>
              <w:right w:w="100" w:type="dxa"/>
            </w:tcMar>
          </w:tcPr>
          <w:p w14:paraId="0000013D"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Quadratic</w:t>
            </w:r>
          </w:p>
        </w:tc>
        <w:tc>
          <w:tcPr>
            <w:tcW w:w="2257" w:type="dxa"/>
            <w:shd w:val="clear" w:color="auto" w:fill="A2C4C9"/>
            <w:tcMar>
              <w:top w:w="100" w:type="dxa"/>
              <w:left w:w="100" w:type="dxa"/>
              <w:bottom w:w="100" w:type="dxa"/>
              <w:right w:w="100" w:type="dxa"/>
            </w:tcMar>
          </w:tcPr>
          <w:p w14:paraId="0000013E"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Exponential</w:t>
            </w:r>
          </w:p>
        </w:tc>
      </w:tr>
      <w:tr w:rsidR="00BF21AC" w14:paraId="169816D4" w14:textId="77777777">
        <w:tc>
          <w:tcPr>
            <w:tcW w:w="2257" w:type="dxa"/>
            <w:shd w:val="clear" w:color="auto" w:fill="C9DAF8"/>
            <w:tcMar>
              <w:top w:w="100" w:type="dxa"/>
              <w:left w:w="100" w:type="dxa"/>
              <w:bottom w:w="100" w:type="dxa"/>
              <w:right w:w="100" w:type="dxa"/>
            </w:tcMar>
          </w:tcPr>
          <w:p w14:paraId="0000013F"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Brazil</w:t>
            </w:r>
          </w:p>
        </w:tc>
        <w:tc>
          <w:tcPr>
            <w:tcW w:w="2257" w:type="dxa"/>
            <w:shd w:val="clear" w:color="auto" w:fill="auto"/>
            <w:tcMar>
              <w:top w:w="100" w:type="dxa"/>
              <w:left w:w="100" w:type="dxa"/>
              <w:bottom w:w="100" w:type="dxa"/>
              <w:right w:w="100" w:type="dxa"/>
            </w:tcMar>
          </w:tcPr>
          <w:p w14:paraId="00000140"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0,92</w:t>
            </w:r>
          </w:p>
        </w:tc>
        <w:tc>
          <w:tcPr>
            <w:tcW w:w="2257" w:type="dxa"/>
            <w:shd w:val="clear" w:color="auto" w:fill="auto"/>
            <w:tcMar>
              <w:top w:w="100" w:type="dxa"/>
              <w:left w:w="100" w:type="dxa"/>
              <w:bottom w:w="100" w:type="dxa"/>
              <w:right w:w="100" w:type="dxa"/>
            </w:tcMar>
          </w:tcPr>
          <w:p w14:paraId="00000141"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0,799</w:t>
            </w:r>
          </w:p>
        </w:tc>
        <w:tc>
          <w:tcPr>
            <w:tcW w:w="2257" w:type="dxa"/>
            <w:shd w:val="clear" w:color="auto" w:fill="auto"/>
            <w:tcMar>
              <w:top w:w="100" w:type="dxa"/>
              <w:left w:w="100" w:type="dxa"/>
              <w:bottom w:w="100" w:type="dxa"/>
              <w:right w:w="100" w:type="dxa"/>
            </w:tcMar>
          </w:tcPr>
          <w:p w14:paraId="00000142"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0,895</w:t>
            </w:r>
          </w:p>
        </w:tc>
      </w:tr>
      <w:tr w:rsidR="00BF21AC" w14:paraId="63B07179" w14:textId="77777777">
        <w:trPr>
          <w:trHeight w:val="470"/>
        </w:trPr>
        <w:tc>
          <w:tcPr>
            <w:tcW w:w="2257" w:type="dxa"/>
            <w:shd w:val="clear" w:color="auto" w:fill="C9DAF8"/>
            <w:tcMar>
              <w:top w:w="100" w:type="dxa"/>
              <w:left w:w="100" w:type="dxa"/>
              <w:bottom w:w="100" w:type="dxa"/>
              <w:right w:w="100" w:type="dxa"/>
            </w:tcMar>
          </w:tcPr>
          <w:p w14:paraId="00000143"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Zealand</w:t>
            </w:r>
          </w:p>
        </w:tc>
        <w:tc>
          <w:tcPr>
            <w:tcW w:w="2257" w:type="dxa"/>
            <w:shd w:val="clear" w:color="auto" w:fill="auto"/>
            <w:tcMar>
              <w:top w:w="100" w:type="dxa"/>
              <w:left w:w="100" w:type="dxa"/>
              <w:bottom w:w="100" w:type="dxa"/>
              <w:right w:w="100" w:type="dxa"/>
            </w:tcMar>
          </w:tcPr>
          <w:p w14:paraId="00000144"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0,244</w:t>
            </w:r>
          </w:p>
        </w:tc>
        <w:tc>
          <w:tcPr>
            <w:tcW w:w="2257" w:type="dxa"/>
            <w:shd w:val="clear" w:color="auto" w:fill="auto"/>
            <w:tcMar>
              <w:top w:w="100" w:type="dxa"/>
              <w:left w:w="100" w:type="dxa"/>
              <w:bottom w:w="100" w:type="dxa"/>
              <w:right w:w="100" w:type="dxa"/>
            </w:tcMar>
          </w:tcPr>
          <w:p w14:paraId="00000145"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257" w:type="dxa"/>
            <w:shd w:val="clear" w:color="auto" w:fill="auto"/>
            <w:tcMar>
              <w:top w:w="100" w:type="dxa"/>
              <w:left w:w="100" w:type="dxa"/>
              <w:bottom w:w="100" w:type="dxa"/>
              <w:right w:w="100" w:type="dxa"/>
            </w:tcMar>
          </w:tcPr>
          <w:p w14:paraId="00000146" w14:textId="77777777" w:rsidR="00BF21AC" w:rsidRDefault="00460E2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0,243</w:t>
            </w:r>
          </w:p>
        </w:tc>
      </w:tr>
    </w:tbl>
    <w:p w14:paraId="00000147"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13</w:t>
      </w:r>
      <w:r>
        <w:rPr>
          <w:rFonts w:ascii="Times New Roman" w:eastAsia="Times New Roman" w:hAnsi="Times New Roman" w:cs="Times New Roman"/>
          <w:sz w:val="24"/>
          <w:szCs w:val="24"/>
        </w:rPr>
        <w:t>: Comparison of the mean absolute deviation for the Linear, Quadratic, and Exponential trend models for the tourism growth rates of Brazil and NZ (% of total import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00000148"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above, it is informed that Brazil's TG rate follows the quadratic trend</w:t>
      </w:r>
      <w:r>
        <w:rPr>
          <w:rFonts w:ascii="Times New Roman" w:eastAsia="Times New Roman" w:hAnsi="Times New Roman" w:cs="Times New Roman"/>
          <w:sz w:val="24"/>
          <w:szCs w:val="24"/>
        </w:rPr>
        <w:t xml:space="preserve"> model for future predictions since it accounts for the smallest errors, which is 0,799. While NZ tourism growth rate follows an exponential trend model with MAD of 0,243. </w:t>
      </w:r>
    </w:p>
    <w:p w14:paraId="00000149" w14:textId="77777777" w:rsidR="00BF21AC" w:rsidRDefault="00460E2B">
      <w:pPr>
        <w:pStyle w:val="Heading2"/>
        <w:spacing w:before="240" w:after="240"/>
        <w:jc w:val="both"/>
        <w:rPr>
          <w:rFonts w:ascii="Times New Roman" w:eastAsia="Times New Roman" w:hAnsi="Times New Roman" w:cs="Times New Roman"/>
          <w:b/>
          <w:sz w:val="24"/>
          <w:szCs w:val="24"/>
        </w:rPr>
      </w:pPr>
      <w:bookmarkStart w:id="18" w:name="_9wv7jczftx30" w:colFirst="0" w:colLast="0"/>
      <w:bookmarkEnd w:id="18"/>
      <w:r>
        <w:rPr>
          <w:rFonts w:ascii="Times New Roman" w:eastAsia="Times New Roman" w:hAnsi="Times New Roman" w:cs="Times New Roman"/>
          <w:b/>
          <w:sz w:val="24"/>
          <w:szCs w:val="24"/>
        </w:rPr>
        <w:t>5. Future predictions for Brazil and New Zealand’s tourism growth rate in 2023, 202</w:t>
      </w:r>
      <w:r>
        <w:rPr>
          <w:rFonts w:ascii="Times New Roman" w:eastAsia="Times New Roman" w:hAnsi="Times New Roman" w:cs="Times New Roman"/>
          <w:b/>
          <w:sz w:val="24"/>
          <w:szCs w:val="24"/>
        </w:rPr>
        <w:t>4 and 2025</w:t>
      </w:r>
    </w:p>
    <w:p w14:paraId="0000014A"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preceding discussions and findings, the quadratic and exponential model have been selected for future forecasting. Part 2 reveals that the Brazil and NZ tourism growth rate is anticipated to rise in the near future, according to the</w:t>
      </w:r>
      <w:r>
        <w:rPr>
          <w:rFonts w:ascii="Times New Roman" w:eastAsia="Times New Roman" w:hAnsi="Times New Roman" w:cs="Times New Roman"/>
          <w:sz w:val="24"/>
          <w:szCs w:val="24"/>
        </w:rPr>
        <w:t xml:space="preserve"> coefficient interpretation conducted in section 3.</w:t>
      </w:r>
    </w:p>
    <w:p w14:paraId="0000014B" w14:textId="77777777" w:rsidR="00BF21AC" w:rsidRDefault="00BF21AC">
      <w:pPr>
        <w:spacing w:before="240" w:after="240" w:line="360" w:lineRule="auto"/>
        <w:jc w:val="both"/>
        <w:rPr>
          <w:rFonts w:ascii="Times New Roman" w:eastAsia="Times New Roman" w:hAnsi="Times New Roman" w:cs="Times New Roman"/>
          <w:sz w:val="24"/>
          <w:szCs w:val="24"/>
        </w:rPr>
      </w:pPr>
    </w:p>
    <w:tbl>
      <w:tblPr>
        <w:tblStyle w:val="a4"/>
        <w:tblW w:w="9210" w:type="dxa"/>
        <w:tblBorders>
          <w:top w:val="nil"/>
          <w:left w:val="nil"/>
          <w:bottom w:val="nil"/>
          <w:right w:val="nil"/>
          <w:insideH w:val="nil"/>
          <w:insideV w:val="nil"/>
        </w:tblBorders>
        <w:tblLayout w:type="fixed"/>
        <w:tblLook w:val="0600" w:firstRow="0" w:lastRow="0" w:firstColumn="0" w:lastColumn="0" w:noHBand="1" w:noVBand="1"/>
      </w:tblPr>
      <w:tblGrid>
        <w:gridCol w:w="1500"/>
        <w:gridCol w:w="2070"/>
        <w:gridCol w:w="2880"/>
        <w:gridCol w:w="2760"/>
      </w:tblGrid>
      <w:tr w:rsidR="00BF21AC" w14:paraId="02FE111E" w14:textId="77777777">
        <w:trPr>
          <w:trHeight w:val="1050"/>
        </w:trPr>
        <w:tc>
          <w:tcPr>
            <w:tcW w:w="1500" w:type="dxa"/>
            <w:tcBorders>
              <w:top w:val="single" w:sz="6" w:space="0" w:color="000000"/>
              <w:left w:val="single" w:sz="6" w:space="0" w:color="000000"/>
              <w:bottom w:val="single" w:sz="6" w:space="0" w:color="000000"/>
              <w:right w:val="single" w:sz="6" w:space="0" w:color="000000"/>
            </w:tcBorders>
            <w:shd w:val="clear" w:color="auto" w:fill="A2C4C9"/>
            <w:tcMar>
              <w:top w:w="0" w:type="dxa"/>
              <w:left w:w="40" w:type="dxa"/>
              <w:bottom w:w="0" w:type="dxa"/>
              <w:right w:w="40" w:type="dxa"/>
            </w:tcMar>
            <w:vAlign w:val="bottom"/>
          </w:tcPr>
          <w:p w14:paraId="0000014C"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Year</w:t>
            </w:r>
          </w:p>
        </w:tc>
        <w:tc>
          <w:tcPr>
            <w:tcW w:w="2070" w:type="dxa"/>
            <w:tcBorders>
              <w:top w:val="single" w:sz="6" w:space="0" w:color="000000"/>
              <w:left w:val="single" w:sz="6" w:space="0" w:color="CCCCCC"/>
              <w:bottom w:val="single" w:sz="6" w:space="0" w:color="000000"/>
              <w:right w:val="single" w:sz="6" w:space="0" w:color="000000"/>
            </w:tcBorders>
            <w:shd w:val="clear" w:color="auto" w:fill="A2C4C9"/>
            <w:tcMar>
              <w:top w:w="0" w:type="dxa"/>
              <w:left w:w="40" w:type="dxa"/>
              <w:bottom w:w="0" w:type="dxa"/>
              <w:right w:w="40" w:type="dxa"/>
            </w:tcMar>
            <w:vAlign w:val="bottom"/>
          </w:tcPr>
          <w:p w14:paraId="0000014D"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Time Period</w:t>
            </w:r>
          </w:p>
        </w:tc>
        <w:tc>
          <w:tcPr>
            <w:tcW w:w="2880" w:type="dxa"/>
            <w:tcBorders>
              <w:top w:val="single" w:sz="6" w:space="0" w:color="000000"/>
              <w:left w:val="single" w:sz="6" w:space="0" w:color="CCCCCC"/>
              <w:bottom w:val="single" w:sz="6" w:space="0" w:color="000000"/>
              <w:right w:val="single" w:sz="6" w:space="0" w:color="000000"/>
            </w:tcBorders>
            <w:shd w:val="clear" w:color="auto" w:fill="A2C4C9"/>
            <w:tcMar>
              <w:top w:w="0" w:type="dxa"/>
              <w:left w:w="40" w:type="dxa"/>
              <w:bottom w:w="0" w:type="dxa"/>
              <w:right w:w="40" w:type="dxa"/>
            </w:tcMar>
            <w:vAlign w:val="bottom"/>
          </w:tcPr>
          <w:p w14:paraId="0000014E"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Predicted Brazilian Tourism Growth Rate (% of total import)</w:t>
            </w:r>
          </w:p>
        </w:tc>
        <w:tc>
          <w:tcPr>
            <w:tcW w:w="2760" w:type="dxa"/>
            <w:tcBorders>
              <w:top w:val="single" w:sz="6" w:space="0" w:color="000000"/>
              <w:left w:val="single" w:sz="6" w:space="0" w:color="CCCCCC"/>
              <w:bottom w:val="single" w:sz="6" w:space="0" w:color="000000"/>
              <w:right w:val="single" w:sz="6" w:space="0" w:color="000000"/>
            </w:tcBorders>
            <w:shd w:val="clear" w:color="auto" w:fill="A2C4C9"/>
            <w:tcMar>
              <w:top w:w="0" w:type="dxa"/>
              <w:left w:w="40" w:type="dxa"/>
              <w:bottom w:w="0" w:type="dxa"/>
              <w:right w:w="40" w:type="dxa"/>
            </w:tcMar>
            <w:vAlign w:val="bottom"/>
          </w:tcPr>
          <w:p w14:paraId="0000014F"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Predicted New Zealand's Tourism Growth Rate (% of total import)</w:t>
            </w:r>
          </w:p>
        </w:tc>
      </w:tr>
      <w:tr w:rsidR="00BF21AC" w14:paraId="67E35D6D" w14:textId="77777777">
        <w:trPr>
          <w:trHeight w:val="300"/>
        </w:trPr>
        <w:tc>
          <w:tcPr>
            <w:tcW w:w="1500" w:type="dxa"/>
            <w:tcBorders>
              <w:top w:val="single" w:sz="6" w:space="0" w:color="CCCCCC"/>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150"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1"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2"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15.201</w:t>
            </w:r>
          </w:p>
        </w:tc>
        <w:tc>
          <w:tcPr>
            <w:tcW w:w="27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3"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8.203</w:t>
            </w:r>
          </w:p>
        </w:tc>
      </w:tr>
      <w:tr w:rsidR="00BF21AC" w14:paraId="1883FAEA" w14:textId="77777777">
        <w:trPr>
          <w:trHeight w:val="300"/>
        </w:trPr>
        <w:tc>
          <w:tcPr>
            <w:tcW w:w="1500" w:type="dxa"/>
            <w:tcBorders>
              <w:top w:val="single" w:sz="6" w:space="0" w:color="CCCCCC"/>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154"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5"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6"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16.177</w:t>
            </w:r>
          </w:p>
        </w:tc>
        <w:tc>
          <w:tcPr>
            <w:tcW w:w="27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7"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8.249</w:t>
            </w:r>
          </w:p>
        </w:tc>
      </w:tr>
      <w:tr w:rsidR="00BF21AC" w14:paraId="1A3DA519" w14:textId="77777777">
        <w:trPr>
          <w:trHeight w:val="300"/>
        </w:trPr>
        <w:tc>
          <w:tcPr>
            <w:tcW w:w="1500" w:type="dxa"/>
            <w:tcBorders>
              <w:top w:val="single" w:sz="6" w:space="0" w:color="CCCCCC"/>
              <w:left w:val="single" w:sz="6" w:space="0" w:color="000000"/>
              <w:bottom w:val="single" w:sz="6" w:space="0" w:color="000000"/>
              <w:right w:val="single" w:sz="6" w:space="0" w:color="000000"/>
            </w:tcBorders>
            <w:shd w:val="clear" w:color="auto" w:fill="C9DAF8"/>
            <w:tcMar>
              <w:top w:w="0" w:type="dxa"/>
              <w:left w:w="40" w:type="dxa"/>
              <w:bottom w:w="0" w:type="dxa"/>
              <w:right w:w="40" w:type="dxa"/>
            </w:tcMar>
            <w:vAlign w:val="bottom"/>
          </w:tcPr>
          <w:p w14:paraId="00000158"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2025</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9"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8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A"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17.201</w:t>
            </w:r>
          </w:p>
        </w:tc>
        <w:tc>
          <w:tcPr>
            <w:tcW w:w="27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000015B" w14:textId="77777777" w:rsidR="00BF21AC" w:rsidRDefault="00460E2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8.295</w:t>
            </w:r>
          </w:p>
        </w:tc>
      </w:tr>
    </w:tbl>
    <w:p w14:paraId="0000015C" w14:textId="77777777" w:rsidR="00BF21AC" w:rsidRDefault="00BF21AC">
      <w:pPr>
        <w:spacing w:before="240" w:after="240" w:line="360" w:lineRule="auto"/>
        <w:jc w:val="both"/>
        <w:rPr>
          <w:rFonts w:ascii="Times New Roman" w:eastAsia="Times New Roman" w:hAnsi="Times New Roman" w:cs="Times New Roman"/>
          <w:sz w:val="24"/>
          <w:szCs w:val="24"/>
        </w:rPr>
      </w:pPr>
    </w:p>
    <w:p w14:paraId="0000015D"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14</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Future prediction of Brazilian and New Zealand tourism growth rate in 2023, 2024 and 2025 (% of total import)</w:t>
      </w:r>
    </w:p>
    <w:p w14:paraId="0000015E"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trend for Brazilian tourism growth will continue to increase over the next three years, from 15.2% in 2023 to 17.2% in 2025, according to the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table. Following NZ, tourism growth rate of these countries is expected to rise from 8,20% in 2023 to</w:t>
      </w:r>
      <w:r>
        <w:rPr>
          <w:rFonts w:ascii="Times New Roman" w:eastAsia="Times New Roman" w:hAnsi="Times New Roman" w:cs="Times New Roman"/>
          <w:sz w:val="24"/>
          <w:szCs w:val="24"/>
        </w:rPr>
        <w:t xml:space="preserve"> nearly 8,3% in 2025. </w:t>
      </w:r>
    </w:p>
    <w:p w14:paraId="0000015F" w14:textId="77777777" w:rsidR="00BF21AC" w:rsidRDefault="00460E2B">
      <w:pPr>
        <w:pStyle w:val="Heading1"/>
        <w:spacing w:before="240" w:after="240"/>
        <w:jc w:val="both"/>
        <w:rPr>
          <w:rFonts w:ascii="Times New Roman" w:eastAsia="Times New Roman" w:hAnsi="Times New Roman" w:cs="Times New Roman"/>
          <w:b/>
          <w:color w:val="FF0000"/>
          <w:sz w:val="24"/>
          <w:szCs w:val="24"/>
        </w:rPr>
      </w:pPr>
      <w:bookmarkStart w:id="19" w:name="_33ofc7u9hzs8" w:colFirst="0" w:colLast="0"/>
      <w:bookmarkEnd w:id="19"/>
      <w:r>
        <w:rPr>
          <w:rFonts w:ascii="Times New Roman" w:eastAsia="Times New Roman" w:hAnsi="Times New Roman" w:cs="Times New Roman"/>
          <w:b/>
          <w:color w:val="FF0000"/>
          <w:sz w:val="24"/>
          <w:szCs w:val="24"/>
        </w:rPr>
        <w:t>VI. Conclusion:</w:t>
      </w:r>
    </w:p>
    <w:p w14:paraId="00000160" w14:textId="77777777" w:rsidR="00BF21AC" w:rsidRDefault="00460E2B">
      <w:pPr>
        <w:pStyle w:val="Heading2"/>
        <w:numPr>
          <w:ilvl w:val="0"/>
          <w:numId w:val="4"/>
        </w:numPr>
        <w:spacing w:before="240" w:after="240"/>
        <w:jc w:val="both"/>
        <w:rPr>
          <w:rFonts w:ascii="Times New Roman" w:eastAsia="Times New Roman" w:hAnsi="Times New Roman" w:cs="Times New Roman"/>
          <w:b/>
          <w:sz w:val="24"/>
          <w:szCs w:val="24"/>
        </w:rPr>
      </w:pPr>
      <w:bookmarkStart w:id="20" w:name="_g022evwy01cc" w:colFirst="0" w:colLast="0"/>
      <w:bookmarkEnd w:id="20"/>
      <w:r>
        <w:rPr>
          <w:rFonts w:ascii="Times New Roman" w:eastAsia="Times New Roman" w:hAnsi="Times New Roman" w:cs="Times New Roman"/>
          <w:b/>
          <w:sz w:val="24"/>
          <w:szCs w:val="24"/>
        </w:rPr>
        <w:t>Comparison:</w:t>
      </w:r>
    </w:p>
    <w:p w14:paraId="00000161"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findings which led us to the discussion above,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can be said that ICP and EGS have an impact on CE in Brazil and NZ. Additionally, the number of CE’s countries increases as natural resources </w:t>
      </w:r>
      <w:r>
        <w:rPr>
          <w:rFonts w:ascii="Times New Roman" w:eastAsia="Times New Roman" w:hAnsi="Times New Roman" w:cs="Times New Roman"/>
          <w:sz w:val="24"/>
          <w:szCs w:val="24"/>
        </w:rPr>
        <w:t xml:space="preserve">are used more frequently. While oil and the production of hydropower both continue to account for the majority of the nation's primary energy demand, Brazil intends to replace petroleum with </w:t>
      </w:r>
      <w:proofErr w:type="gramStart"/>
      <w:r>
        <w:rPr>
          <w:rFonts w:ascii="Times New Roman" w:eastAsia="Times New Roman" w:hAnsi="Times New Roman" w:cs="Times New Roman"/>
          <w:sz w:val="24"/>
          <w:szCs w:val="24"/>
        </w:rPr>
        <w:t>ethanol .</w:t>
      </w:r>
      <w:proofErr w:type="gramEnd"/>
      <w:r>
        <w:rPr>
          <w:rFonts w:ascii="Times New Roman" w:eastAsia="Times New Roman" w:hAnsi="Times New Roman" w:cs="Times New Roman"/>
          <w:sz w:val="24"/>
          <w:szCs w:val="24"/>
        </w:rPr>
        <w:t xml:space="preserve"> Furthermore, because of the giant population number and</w:t>
      </w:r>
      <w:r>
        <w:rPr>
          <w:rFonts w:ascii="Times New Roman" w:eastAsia="Times New Roman" w:hAnsi="Times New Roman" w:cs="Times New Roman"/>
          <w:sz w:val="24"/>
          <w:szCs w:val="24"/>
        </w:rPr>
        <w:t xml:space="preserve"> the crowded metropolitan environment, Brazil has trouble growing its manufacturing sector. It amply demonstrates the reason why Brazil continues to trail behind NZ in terms of lowering emissions in order to lessen the effects of global warming and achieve</w:t>
      </w:r>
      <w:r>
        <w:rPr>
          <w:rFonts w:ascii="Times New Roman" w:eastAsia="Times New Roman" w:hAnsi="Times New Roman" w:cs="Times New Roman"/>
          <w:sz w:val="24"/>
          <w:szCs w:val="24"/>
        </w:rPr>
        <w:t xml:space="preserve"> more sustainable growth when findings from part 4 are taken into consideration.</w:t>
      </w:r>
    </w:p>
    <w:p w14:paraId="00000162" w14:textId="77777777" w:rsidR="00BF21AC" w:rsidRDefault="00460E2B">
      <w:pPr>
        <w:pStyle w:val="Heading2"/>
        <w:numPr>
          <w:ilvl w:val="0"/>
          <w:numId w:val="4"/>
        </w:numPr>
        <w:spacing w:before="240" w:after="240"/>
        <w:jc w:val="both"/>
        <w:rPr>
          <w:rFonts w:ascii="Times New Roman" w:eastAsia="Times New Roman" w:hAnsi="Times New Roman" w:cs="Times New Roman"/>
          <w:b/>
          <w:sz w:val="24"/>
          <w:szCs w:val="24"/>
        </w:rPr>
      </w:pPr>
      <w:bookmarkStart w:id="21" w:name="_ggypkskwqafc" w:colFirst="0" w:colLast="0"/>
      <w:bookmarkEnd w:id="21"/>
      <w:r>
        <w:rPr>
          <w:rFonts w:ascii="Times New Roman" w:eastAsia="Times New Roman" w:hAnsi="Times New Roman" w:cs="Times New Roman"/>
          <w:b/>
          <w:sz w:val="24"/>
          <w:szCs w:val="24"/>
        </w:rPr>
        <w:t>Suggestions:</w:t>
      </w:r>
    </w:p>
    <w:p w14:paraId="00000163"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indicated in part 4 that the expansion of production and resource use has led to an increase in CE, making it a serious issue for nations attempting to attain </w:t>
      </w:r>
      <w:r>
        <w:rPr>
          <w:rFonts w:ascii="Times New Roman" w:eastAsia="Times New Roman" w:hAnsi="Times New Roman" w:cs="Times New Roman"/>
          <w:sz w:val="24"/>
          <w:szCs w:val="24"/>
        </w:rPr>
        <w:t xml:space="preserve">sustainable economic growth, a solution that manages those aspects in the two nations is necessary. To minimise pollution, both governments may employ four main strategies: taxes to increase the cost of alternatives, subsidies of alternatives, legislation </w:t>
      </w:r>
      <w:r>
        <w:rPr>
          <w:rFonts w:ascii="Times New Roman" w:eastAsia="Times New Roman" w:hAnsi="Times New Roman" w:cs="Times New Roman"/>
          <w:sz w:val="24"/>
          <w:szCs w:val="24"/>
        </w:rPr>
        <w:t>to prohibit particulate pollutants, and pollution permits.</w:t>
      </w:r>
    </w:p>
    <w:p w14:paraId="00000164"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SDG Summit, which took place in September 2019, brought together heads of state and government at the UN headquarters in New York to follow and carefully evaluate the implementation of the 17 S</w:t>
      </w:r>
      <w:r>
        <w:rPr>
          <w:rFonts w:ascii="Times New Roman" w:eastAsia="Times New Roman" w:hAnsi="Times New Roman" w:cs="Times New Roman"/>
          <w:sz w:val="24"/>
          <w:szCs w:val="24"/>
        </w:rPr>
        <w:t>ustainable Development Goals and the 2030 Agenda for Sustainable Development (SDGs). Adoption of the Political Declaration, the major message of which is to act in response to climate emergencies, marked the summit's conclusion. According to 22 pertinent s</w:t>
      </w:r>
      <w:r>
        <w:rPr>
          <w:rFonts w:ascii="Times New Roman" w:eastAsia="Times New Roman" w:hAnsi="Times New Roman" w:cs="Times New Roman"/>
          <w:sz w:val="24"/>
          <w:szCs w:val="24"/>
        </w:rPr>
        <w:t xml:space="preserve">tudies, emission reduction strategies must be incorporated into the economic growth </w:t>
      </w:r>
      <w:r>
        <w:rPr>
          <w:rFonts w:ascii="Times New Roman" w:eastAsia="Times New Roman" w:hAnsi="Times New Roman" w:cs="Times New Roman"/>
          <w:sz w:val="24"/>
          <w:szCs w:val="24"/>
        </w:rPr>
        <w:lastRenderedPageBreak/>
        <w:t>plans of various countries in order to achieve both economic growth and climatic and environmental sustainability (SDGS 2019).</w:t>
      </w:r>
    </w:p>
    <w:p w14:paraId="00000165" w14:textId="77777777" w:rsidR="00BF21AC" w:rsidRDefault="00460E2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reduction of pollution will result from a</w:t>
      </w:r>
      <w:r>
        <w:rPr>
          <w:rFonts w:ascii="Times New Roman" w:eastAsia="Times New Roman" w:hAnsi="Times New Roman" w:cs="Times New Roman"/>
          <w:sz w:val="24"/>
          <w:szCs w:val="24"/>
        </w:rPr>
        <w:t xml:space="preserve">ltered industry structures.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secondary industries, especially in the energy-intensive sector, will decline as the economy develops, but energy consumption will rise, reducing pollution. The development of technology will make it possible to us</w:t>
      </w:r>
      <w:r>
        <w:rPr>
          <w:rFonts w:ascii="Times New Roman" w:eastAsia="Times New Roman" w:hAnsi="Times New Roman" w:cs="Times New Roman"/>
          <w:sz w:val="24"/>
          <w:szCs w:val="24"/>
        </w:rPr>
        <w:t>e resources efficiently and require less energy. As a result, technical level has a significant impact on pollution and energy intensity (Chen, Xu, et.al 2019).</w:t>
      </w:r>
    </w:p>
    <w:p w14:paraId="00000166" w14:textId="77777777" w:rsidR="00BF21AC" w:rsidRDefault="00460E2B">
      <w:pPr>
        <w:pStyle w:val="Heading2"/>
        <w:numPr>
          <w:ilvl w:val="0"/>
          <w:numId w:val="4"/>
        </w:numPr>
        <w:spacing w:before="240" w:after="240"/>
        <w:jc w:val="both"/>
        <w:rPr>
          <w:rFonts w:ascii="Times New Roman" w:eastAsia="Times New Roman" w:hAnsi="Times New Roman" w:cs="Times New Roman"/>
          <w:b/>
          <w:sz w:val="24"/>
          <w:szCs w:val="24"/>
        </w:rPr>
      </w:pPr>
      <w:bookmarkStart w:id="22" w:name="_3etqy2sijjjr" w:colFirst="0" w:colLast="0"/>
      <w:bookmarkEnd w:id="22"/>
      <w:r>
        <w:rPr>
          <w:rFonts w:ascii="Times New Roman" w:eastAsia="Times New Roman" w:hAnsi="Times New Roman" w:cs="Times New Roman"/>
          <w:b/>
          <w:sz w:val="24"/>
          <w:szCs w:val="24"/>
        </w:rPr>
        <w:t>Extra Variable:</w:t>
      </w:r>
    </w:p>
    <w:p w14:paraId="00000167" w14:textId="77777777" w:rsidR="00BF21AC" w:rsidRDefault="00460E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largest country in South America and a developing country, Brazil. The nati</w:t>
      </w:r>
      <w:r>
        <w:rPr>
          <w:rFonts w:ascii="Times New Roman" w:eastAsia="Times New Roman" w:hAnsi="Times New Roman" w:cs="Times New Roman"/>
          <w:sz w:val="24"/>
          <w:szCs w:val="24"/>
        </w:rPr>
        <w:t>on's urbanisation has increased since the 1990s, utilising 14% of the increasingly total population, the country is classified as “urban". In 2020, 86,9% of NZ lived in many main cities and around the big four cities. Compared to Brazil, NZ has a far lower</w:t>
      </w:r>
      <w:r>
        <w:rPr>
          <w:rFonts w:ascii="Times New Roman" w:eastAsia="Times New Roman" w:hAnsi="Times New Roman" w:cs="Times New Roman"/>
          <w:sz w:val="24"/>
          <w:szCs w:val="24"/>
        </w:rPr>
        <w:t xml:space="preserve"> rate of urbanisation. </w:t>
      </w:r>
    </w:p>
    <w:p w14:paraId="00000168" w14:textId="77777777" w:rsidR="00BF21AC" w:rsidRDefault="00BF21AC">
      <w:pPr>
        <w:spacing w:line="360" w:lineRule="auto"/>
        <w:ind w:left="720"/>
        <w:jc w:val="both"/>
        <w:rPr>
          <w:rFonts w:ascii="Times New Roman" w:eastAsia="Times New Roman" w:hAnsi="Times New Roman" w:cs="Times New Roman"/>
          <w:sz w:val="24"/>
          <w:szCs w:val="24"/>
        </w:rPr>
      </w:pPr>
    </w:p>
    <w:p w14:paraId="00000169" w14:textId="77777777" w:rsidR="00BF21AC" w:rsidRDefault="00460E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Metropolitan areas are playing a bigger role in many countries' energy consumption and CE as urbanisation accelerates. Unquestionably, the effect of urbanisation on the consumption of fossil fuel energy has changed and elevated car</w:t>
      </w:r>
      <w:r>
        <w:rPr>
          <w:rFonts w:ascii="Times New Roman" w:eastAsia="Times New Roman" w:hAnsi="Times New Roman" w:cs="Times New Roman"/>
          <w:sz w:val="24"/>
          <w:szCs w:val="24"/>
        </w:rPr>
        <w:t>bon levels in the atmosphere, causing warming. Climate change and global warming are results of this process (</w:t>
      </w:r>
      <w:proofErr w:type="spellStart"/>
      <w:r>
        <w:rPr>
          <w:rFonts w:ascii="Times New Roman" w:eastAsia="Times New Roman" w:hAnsi="Times New Roman" w:cs="Times New Roman"/>
          <w:sz w:val="24"/>
          <w:szCs w:val="24"/>
        </w:rPr>
        <w:t>Sigeze</w:t>
      </w:r>
      <w:proofErr w:type="spellEnd"/>
      <w:r>
        <w:rPr>
          <w:rFonts w:ascii="Times New Roman" w:eastAsia="Times New Roman" w:hAnsi="Times New Roman" w:cs="Times New Roman"/>
          <w:sz w:val="24"/>
          <w:szCs w:val="24"/>
        </w:rPr>
        <w:t>, Manga, et.al 2018).</w:t>
      </w:r>
    </w:p>
    <w:p w14:paraId="0000016A" w14:textId="77777777" w:rsidR="00BF21AC" w:rsidRDefault="00BF21AC">
      <w:pPr>
        <w:spacing w:line="360" w:lineRule="auto"/>
        <w:ind w:left="720"/>
        <w:jc w:val="both"/>
        <w:rPr>
          <w:rFonts w:ascii="Times New Roman" w:eastAsia="Times New Roman" w:hAnsi="Times New Roman" w:cs="Times New Roman"/>
          <w:sz w:val="24"/>
          <w:szCs w:val="24"/>
        </w:rPr>
      </w:pPr>
    </w:p>
    <w:p w14:paraId="0000016B" w14:textId="77777777" w:rsidR="00BF21AC" w:rsidRDefault="00460E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Urbanisation is a </w:t>
      </w:r>
      <w:proofErr w:type="gramStart"/>
      <w:r>
        <w:rPr>
          <w:rFonts w:ascii="Times New Roman" w:eastAsia="Times New Roman" w:hAnsi="Times New Roman" w:cs="Times New Roman"/>
          <w:sz w:val="24"/>
          <w:szCs w:val="24"/>
        </w:rPr>
        <w:t xml:space="preserve">dynamic </w:t>
      </w:r>
      <w:proofErr w:type="spellStart"/>
      <w:r>
        <w:rPr>
          <w:rFonts w:ascii="Times New Roman" w:eastAsia="Times New Roman" w:hAnsi="Times New Roman" w:cs="Times New Roman"/>
          <w:sz w:val="24"/>
          <w:szCs w:val="24"/>
        </w:rPr>
        <w:t>phenomena</w:t>
      </w:r>
      <w:proofErr w:type="spellEnd"/>
      <w:proofErr w:type="gramEnd"/>
      <w:r>
        <w:rPr>
          <w:rFonts w:ascii="Times New Roman" w:eastAsia="Times New Roman" w:hAnsi="Times New Roman" w:cs="Times New Roman"/>
          <w:sz w:val="24"/>
          <w:szCs w:val="24"/>
        </w:rPr>
        <w:t xml:space="preserve"> that transfers rural areas' social and economic potential—which is based on an agrarian economy—to urban areas (industrial economic base). Urbanisation and high urban densities, however, were projected in recent decades </w:t>
      </w:r>
      <w:r>
        <w:rPr>
          <w:rFonts w:ascii="Times New Roman" w:eastAsia="Times New Roman" w:hAnsi="Times New Roman" w:cs="Times New Roman"/>
          <w:sz w:val="24"/>
          <w:szCs w:val="24"/>
        </w:rPr>
        <w:t>due to economic globalisation; many rising nations are currently going through economic transformation, which ultimately causes the physical rise of metropolitan areas. However, the rapid urbanisation of recent decades has raised the possibility of increas</w:t>
      </w:r>
      <w:r>
        <w:rPr>
          <w:rFonts w:ascii="Times New Roman" w:eastAsia="Times New Roman" w:hAnsi="Times New Roman" w:cs="Times New Roman"/>
          <w:sz w:val="24"/>
          <w:szCs w:val="24"/>
        </w:rPr>
        <w:t>ed energy consumption as well as significant environmental issues (Ahmed, Wang, and Ali 2019).</w:t>
      </w:r>
    </w:p>
    <w:p w14:paraId="0000016C" w14:textId="77777777" w:rsidR="00BF21AC" w:rsidRDefault="00BF21AC">
      <w:pPr>
        <w:spacing w:line="360" w:lineRule="auto"/>
        <w:ind w:left="720"/>
        <w:jc w:val="both"/>
        <w:rPr>
          <w:rFonts w:ascii="Times New Roman" w:eastAsia="Times New Roman" w:hAnsi="Times New Roman" w:cs="Times New Roman"/>
          <w:sz w:val="24"/>
          <w:szCs w:val="24"/>
        </w:rPr>
      </w:pPr>
    </w:p>
    <w:p w14:paraId="0000016D" w14:textId="77777777" w:rsidR="00BF21AC" w:rsidRDefault="00460E2B">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Urbanisation is a quantitative factor. Urban population growth has a very favourable impact on CE. Increases in road and air travel as well as higher energy con</w:t>
      </w:r>
      <w:r>
        <w:rPr>
          <w:rFonts w:ascii="Times New Roman" w:eastAsia="Times New Roman" w:hAnsi="Times New Roman" w:cs="Times New Roman"/>
          <w:sz w:val="24"/>
          <w:szCs w:val="24"/>
        </w:rPr>
        <w:t>sumption are caused by urban residents' higher income and spending, respectively. Urbanisation increases CE, but after it reaches a certain level, it has a negative effect on CE. This relationship between urbanisation and CE is nonlinear.</w:t>
      </w:r>
      <w:r>
        <w:br w:type="page"/>
      </w:r>
    </w:p>
    <w:p w14:paraId="0000016E" w14:textId="77777777" w:rsidR="00BF21AC" w:rsidRDefault="00460E2B">
      <w:pPr>
        <w:pStyle w:val="Heading1"/>
        <w:spacing w:before="240" w:after="240"/>
        <w:jc w:val="both"/>
        <w:rPr>
          <w:rFonts w:ascii="Calibri" w:eastAsia="Calibri" w:hAnsi="Calibri" w:cs="Calibri"/>
        </w:rPr>
      </w:pPr>
      <w:bookmarkStart w:id="23" w:name="_tvpdy4dketnj" w:colFirst="0" w:colLast="0"/>
      <w:bookmarkEnd w:id="23"/>
      <w:r>
        <w:rPr>
          <w:rFonts w:ascii="Times New Roman" w:eastAsia="Times New Roman" w:hAnsi="Times New Roman" w:cs="Times New Roman"/>
          <w:b/>
          <w:color w:val="FF0000"/>
          <w:sz w:val="24"/>
          <w:szCs w:val="24"/>
        </w:rPr>
        <w:lastRenderedPageBreak/>
        <w:t>VII. Reference</w:t>
      </w:r>
      <w:r>
        <w:rPr>
          <w:rFonts w:ascii="Calibri" w:eastAsia="Calibri" w:hAnsi="Calibri" w:cs="Calibri"/>
        </w:rPr>
        <w:t xml:space="preserve"> </w:t>
      </w:r>
    </w:p>
    <w:p w14:paraId="0000016F"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 xml:space="preserve">Andrea </w:t>
      </w:r>
      <w:proofErr w:type="spellStart"/>
      <w:r>
        <w:rPr>
          <w:rFonts w:ascii="Times New Roman" w:eastAsia="Times New Roman" w:hAnsi="Times New Roman" w:cs="Times New Roman"/>
          <w:sz w:val="24"/>
          <w:szCs w:val="24"/>
        </w:rPr>
        <w:t>Insch</w:t>
      </w:r>
      <w:proofErr w:type="spellEnd"/>
      <w:r>
        <w:rPr>
          <w:rFonts w:ascii="Times New Roman" w:eastAsia="Times New Roman" w:hAnsi="Times New Roman" w:cs="Times New Roman"/>
          <w:sz w:val="24"/>
          <w:szCs w:val="24"/>
        </w:rPr>
        <w:t xml:space="preserve"> (March 2020), ‘The challenges of over-tourism facing New Zealand: Risks and response’, </w:t>
      </w:r>
      <w:proofErr w:type="spellStart"/>
      <w:r>
        <w:rPr>
          <w:rFonts w:ascii="Times New Roman" w:eastAsia="Times New Roman" w:hAnsi="Times New Roman" w:cs="Times New Roman"/>
          <w:i/>
          <w:sz w:val="24"/>
          <w:szCs w:val="24"/>
        </w:rPr>
        <w:t>sciencedirect</w:t>
      </w:r>
      <w:proofErr w:type="spellEnd"/>
      <w:r>
        <w:rPr>
          <w:rFonts w:ascii="Times New Roman" w:eastAsia="Times New Roman" w:hAnsi="Times New Roman" w:cs="Times New Roman"/>
          <w:sz w:val="24"/>
          <w:szCs w:val="24"/>
        </w:rPr>
        <w:t>, accessed 3 January 2023.</w:t>
      </w:r>
      <w:hyperlink r:id="rId19">
        <w:r>
          <w:rPr>
            <w:rFonts w:ascii="Times New Roman" w:eastAsia="Times New Roman" w:hAnsi="Times New Roman" w:cs="Times New Roman"/>
            <w:color w:val="954F72"/>
            <w:sz w:val="24"/>
            <w:szCs w:val="24"/>
            <w:u w:val="single"/>
          </w:rPr>
          <w:t>https://www.sciencedirect.</w:t>
        </w:r>
        <w:r>
          <w:rPr>
            <w:rFonts w:ascii="Times New Roman" w:eastAsia="Times New Roman" w:hAnsi="Times New Roman" w:cs="Times New Roman"/>
            <w:color w:val="954F72"/>
            <w:sz w:val="24"/>
            <w:szCs w:val="24"/>
            <w:u w:val="single"/>
          </w:rPr>
          <w:t>com/science/article/abs/pii/S2212571X19301453</w:t>
        </w:r>
      </w:hyperlink>
    </w:p>
    <w:p w14:paraId="00000170" w14:textId="77777777" w:rsidR="00BF21AC" w:rsidRDefault="00460E2B">
      <w:pPr>
        <w:spacing w:before="240" w:after="240"/>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Ciler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Muge</w:t>
      </w:r>
      <w:proofErr w:type="spellEnd"/>
      <w:r>
        <w:rPr>
          <w:rFonts w:ascii="Times New Roman" w:eastAsia="Times New Roman" w:hAnsi="Times New Roman" w:cs="Times New Roman"/>
          <w:sz w:val="24"/>
          <w:szCs w:val="24"/>
        </w:rPr>
        <w:t xml:space="preserve"> M, et.al (17 Dec 2018), ‘The relationship between tourism, CO2 emissions and economic growth: a case of Mediterranean countries’, </w:t>
      </w:r>
      <w:proofErr w:type="spellStart"/>
      <w:r>
        <w:rPr>
          <w:rFonts w:ascii="Times New Roman" w:eastAsia="Times New Roman" w:hAnsi="Times New Roman" w:cs="Times New Roman"/>
          <w:i/>
          <w:sz w:val="24"/>
          <w:szCs w:val="24"/>
        </w:rPr>
        <w:t>tandonline</w:t>
      </w:r>
      <w:proofErr w:type="spellEnd"/>
      <w:r>
        <w:rPr>
          <w:rFonts w:ascii="Times New Roman" w:eastAsia="Times New Roman" w:hAnsi="Times New Roman" w:cs="Times New Roman"/>
          <w:sz w:val="24"/>
          <w:szCs w:val="24"/>
        </w:rPr>
        <w:t>, accessed 3 January 2023.</w:t>
      </w:r>
      <w:hyperlink r:id="rId20">
        <w:r>
          <w:rPr>
            <w:rFonts w:ascii="Times New Roman" w:eastAsia="Times New Roman" w:hAnsi="Times New Roman" w:cs="Times New Roman"/>
            <w:color w:val="1155CC"/>
            <w:sz w:val="24"/>
            <w:szCs w:val="24"/>
            <w:u w:val="single"/>
          </w:rPr>
          <w:t>https://www.tandfonline.com/doi/full/10.1080/10941665.2018.1557717?casa_token=h-c2vh34lFQA</w:t>
        </w:r>
        <w:r>
          <w:rPr>
            <w:rFonts w:ascii="Times New Roman" w:eastAsia="Times New Roman" w:hAnsi="Times New Roman" w:cs="Times New Roman"/>
            <w:color w:val="1155CC"/>
            <w:sz w:val="24"/>
            <w:szCs w:val="24"/>
            <w:u w:val="single"/>
          </w:rPr>
          <w:t>AAAA%3ARgs8ocaDGB4Vs7Iu_xDlGd7ad6wKxNihiuiu1dy8-mgF8XcokY2B7JU5BR69JPdrFy8qRhv7qj3x41A</w:t>
        </w:r>
      </w:hyperlink>
    </w:p>
    <w:p w14:paraId="00000171"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David S, Jenn B, and Kevin M (September 2019</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Optimising Tourism New Zealand’s future role and contribution to New Zealand’,</w:t>
      </w:r>
      <w:r>
        <w:rPr>
          <w:rFonts w:ascii="Times New Roman" w:eastAsia="Times New Roman" w:hAnsi="Times New Roman" w:cs="Times New Roman"/>
          <w:i/>
          <w:sz w:val="24"/>
          <w:szCs w:val="24"/>
        </w:rPr>
        <w:t xml:space="preserve"> the tourism New Zealand report</w:t>
      </w:r>
      <w:r>
        <w:rPr>
          <w:rFonts w:ascii="Times New Roman" w:eastAsia="Times New Roman" w:hAnsi="Times New Roman" w:cs="Times New Roman"/>
          <w:sz w:val="24"/>
          <w:szCs w:val="24"/>
        </w:rPr>
        <w:t>, accessed 3 January 2023.</w:t>
      </w:r>
      <w:hyperlink r:id="rId21">
        <w:r>
          <w:rPr>
            <w:rFonts w:ascii="Times New Roman" w:eastAsia="Times New Roman" w:hAnsi="Times New Roman" w:cs="Times New Roman"/>
            <w:color w:val="954F72"/>
            <w:sz w:val="24"/>
            <w:szCs w:val="24"/>
            <w:u w:val="single"/>
          </w:rPr>
          <w:t>https://www.mbie.govt.nz/dmsdocument/6974-the-tourism-new-zealand-report</w:t>
        </w:r>
      </w:hyperlink>
    </w:p>
    <w:p w14:paraId="00000172" w14:textId="77777777" w:rsidR="00BF21AC" w:rsidRDefault="00460E2B">
      <w:pPr>
        <w:spacing w:before="240" w:after="240"/>
        <w:jc w:val="both"/>
        <w:rPr>
          <w:rFonts w:ascii="Calibri" w:eastAsia="Calibri" w:hAnsi="Calibri" w:cs="Calibri"/>
          <w:color w:val="954F72"/>
          <w:u w:val="single"/>
        </w:rPr>
      </w:pPr>
      <w:r>
        <w:rPr>
          <w:rFonts w:ascii="Times New Roman" w:eastAsia="Times New Roman" w:hAnsi="Times New Roman" w:cs="Times New Roman"/>
          <w:sz w:val="24"/>
          <w:szCs w:val="24"/>
        </w:rPr>
        <w:t>Frost, J “Measures of Variability: Range, Interquartile Range, Variance, and Standard Deviation,” accessed 3 January 2023.</w:t>
      </w:r>
      <w:hyperlink r:id="rId22">
        <w:r>
          <w:rPr>
            <w:rFonts w:ascii="Calibri" w:eastAsia="Calibri" w:hAnsi="Calibri" w:cs="Calibri"/>
            <w:color w:val="954F72"/>
            <w:u w:val="single"/>
          </w:rPr>
          <w:t>https://statisticsb</w:t>
        </w:r>
        <w:r>
          <w:rPr>
            <w:rFonts w:ascii="Calibri" w:eastAsia="Calibri" w:hAnsi="Calibri" w:cs="Calibri"/>
            <w:color w:val="954F72"/>
            <w:u w:val="single"/>
          </w:rPr>
          <w:t>yjim.com/basics/variability-range-interquartile-variance-standard-deviation/</w:t>
        </w:r>
      </w:hyperlink>
    </w:p>
    <w:p w14:paraId="00000173" w14:textId="77777777" w:rsidR="00BF21AC" w:rsidRDefault="00460E2B">
      <w:pPr>
        <w:spacing w:before="240" w:after="240"/>
        <w:jc w:val="both"/>
        <w:rPr>
          <w:rFonts w:ascii="Times New Roman" w:eastAsia="Times New Roman" w:hAnsi="Times New Roman" w:cs="Times New Roman"/>
          <w:color w:val="954F72"/>
          <w:sz w:val="24"/>
          <w:szCs w:val="24"/>
          <w:u w:val="single"/>
        </w:rPr>
      </w:pPr>
      <w:proofErr w:type="spellStart"/>
      <w:r>
        <w:rPr>
          <w:rFonts w:ascii="Times New Roman" w:eastAsia="Times New Roman" w:hAnsi="Times New Roman" w:cs="Times New Roman"/>
          <w:sz w:val="24"/>
          <w:szCs w:val="24"/>
        </w:rPr>
        <w:t>Javatpoint</w:t>
      </w:r>
      <w:proofErr w:type="spellEnd"/>
      <w:r>
        <w:rPr>
          <w:rFonts w:ascii="Times New Roman" w:eastAsia="Times New Roman" w:hAnsi="Times New Roman" w:cs="Times New Roman"/>
          <w:sz w:val="24"/>
          <w:szCs w:val="24"/>
        </w:rPr>
        <w:t xml:space="preserve"> (n.d.), ‘</w:t>
      </w:r>
      <w:r>
        <w:rPr>
          <w:rFonts w:ascii="Times New Roman" w:eastAsia="Times New Roman" w:hAnsi="Times New Roman" w:cs="Times New Roman"/>
          <w:i/>
          <w:sz w:val="24"/>
          <w:szCs w:val="24"/>
        </w:rPr>
        <w:t>What is Backward Elimination?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Javatpoint</w:t>
      </w:r>
      <w:proofErr w:type="spellEnd"/>
      <w:r>
        <w:rPr>
          <w:rFonts w:ascii="Times New Roman" w:eastAsia="Times New Roman" w:hAnsi="Times New Roman" w:cs="Times New Roman"/>
          <w:sz w:val="24"/>
          <w:szCs w:val="24"/>
        </w:rPr>
        <w:t>, accessed 3 January 2023.</w:t>
      </w:r>
      <w:hyperlink r:id="rId23">
        <w:r>
          <w:rPr>
            <w:rFonts w:ascii="Times New Roman" w:eastAsia="Times New Roman" w:hAnsi="Times New Roman" w:cs="Times New Roman"/>
            <w:color w:val="954F72"/>
            <w:sz w:val="24"/>
            <w:szCs w:val="24"/>
            <w:u w:val="single"/>
          </w:rPr>
          <w:t>http</w:t>
        </w:r>
        <w:r>
          <w:rPr>
            <w:rFonts w:ascii="Times New Roman" w:eastAsia="Times New Roman" w:hAnsi="Times New Roman" w:cs="Times New Roman"/>
            <w:color w:val="954F72"/>
            <w:sz w:val="24"/>
            <w:szCs w:val="24"/>
            <w:u w:val="single"/>
          </w:rPr>
          <w:t>s://www.javatpoint.com/backward-elimination-in-machine-learning</w:t>
        </w:r>
      </w:hyperlink>
    </w:p>
    <w:p w14:paraId="00000174" w14:textId="77777777" w:rsidR="00BF21AC" w:rsidRDefault="00460E2B">
      <w:pPr>
        <w:spacing w:before="240" w:after="240"/>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Jiandong</w:t>
      </w:r>
      <w:proofErr w:type="spellEnd"/>
      <w:r>
        <w:rPr>
          <w:rFonts w:ascii="Times New Roman" w:eastAsia="Times New Roman" w:hAnsi="Times New Roman" w:cs="Times New Roman"/>
          <w:sz w:val="24"/>
          <w:szCs w:val="24"/>
        </w:rPr>
        <w:t xml:space="preserve"> C, Chong X, et.al (February 2019), ‘Driving factors of CO2 emissions and inequality characteristics in China: A combined decomposition approach’, </w:t>
      </w:r>
      <w:proofErr w:type="spellStart"/>
      <w:r>
        <w:rPr>
          <w:rFonts w:ascii="Times New Roman" w:eastAsia="Times New Roman" w:hAnsi="Times New Roman" w:cs="Times New Roman"/>
          <w:i/>
          <w:sz w:val="24"/>
          <w:szCs w:val="24"/>
        </w:rPr>
        <w:t>sciencedirect</w:t>
      </w:r>
      <w:proofErr w:type="spellEnd"/>
      <w:r>
        <w:rPr>
          <w:rFonts w:ascii="Times New Roman" w:eastAsia="Times New Roman" w:hAnsi="Times New Roman" w:cs="Times New Roman"/>
          <w:sz w:val="24"/>
          <w:szCs w:val="24"/>
        </w:rPr>
        <w:t>, accessed January 8, 20</w:t>
      </w:r>
      <w:r>
        <w:rPr>
          <w:rFonts w:ascii="Times New Roman" w:eastAsia="Times New Roman" w:hAnsi="Times New Roman" w:cs="Times New Roman"/>
          <w:sz w:val="24"/>
          <w:szCs w:val="24"/>
        </w:rPr>
        <w:t>23.</w:t>
      </w:r>
      <w:hyperlink r:id="rId24">
        <w:r>
          <w:rPr>
            <w:rFonts w:ascii="Times New Roman" w:eastAsia="Times New Roman" w:hAnsi="Times New Roman" w:cs="Times New Roman"/>
            <w:color w:val="1155CC"/>
            <w:sz w:val="24"/>
            <w:szCs w:val="24"/>
            <w:u w:val="single"/>
          </w:rPr>
          <w:t>https://www.sciencedirect.com/science/article/pii/S0140988318</w:t>
        </w:r>
        <w:r>
          <w:rPr>
            <w:rFonts w:ascii="Times New Roman" w:eastAsia="Times New Roman" w:hAnsi="Times New Roman" w:cs="Times New Roman"/>
            <w:color w:val="1155CC"/>
            <w:sz w:val="24"/>
            <w:szCs w:val="24"/>
            <w:u w:val="single"/>
          </w:rPr>
          <w:t>304936?casa_token=Gu7hI--mP10AAAAA:Odz1bj0Ujy2kQYDVdi8GUcxW0nBMbHzky-k8CnRiQYQf6wkU3XoTE-0090jZWKnxdTwFY2oL_Dzl</w:t>
        </w:r>
      </w:hyperlink>
    </w:p>
    <w:p w14:paraId="00000175"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 xml:space="preserve">Jose O (2002), ‘Governmental responses to tourism development: three Brazilian case studies’, </w:t>
      </w:r>
      <w:proofErr w:type="spellStart"/>
      <w:r>
        <w:rPr>
          <w:rFonts w:ascii="Times New Roman" w:eastAsia="Times New Roman" w:hAnsi="Times New Roman" w:cs="Times New Roman"/>
          <w:i/>
          <w:sz w:val="24"/>
          <w:szCs w:val="24"/>
        </w:rPr>
        <w:t>sciencedirect</w:t>
      </w:r>
      <w:proofErr w:type="spellEnd"/>
      <w:r>
        <w:rPr>
          <w:rFonts w:ascii="Times New Roman" w:eastAsia="Times New Roman" w:hAnsi="Times New Roman" w:cs="Times New Roman"/>
          <w:sz w:val="24"/>
          <w:szCs w:val="24"/>
        </w:rPr>
        <w:t>, accessed 3 January 2023.</w:t>
      </w:r>
      <w:hyperlink r:id="rId25">
        <w:r>
          <w:rPr>
            <w:rFonts w:ascii="Times New Roman" w:eastAsia="Times New Roman" w:hAnsi="Times New Roman" w:cs="Times New Roman"/>
            <w:color w:val="954F72"/>
            <w:sz w:val="24"/>
            <w:szCs w:val="24"/>
            <w:u w:val="single"/>
          </w:rPr>
          <w:t>https://www.sciencedirect.com/science/article/abs/pii/S0261517702000468</w:t>
        </w:r>
      </w:hyperlink>
    </w:p>
    <w:p w14:paraId="00000176"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 xml:space="preserve">Manikandan S (2011), ‘Measures of central tendency: Median and mode’, </w:t>
      </w:r>
      <w:r>
        <w:rPr>
          <w:rFonts w:ascii="Times New Roman" w:eastAsia="Times New Roman" w:hAnsi="Times New Roman" w:cs="Times New Roman"/>
          <w:i/>
          <w:sz w:val="24"/>
          <w:szCs w:val="24"/>
        </w:rPr>
        <w:t xml:space="preserve">PubMed Central(PMC), </w:t>
      </w:r>
      <w:r>
        <w:rPr>
          <w:rFonts w:ascii="Times New Roman" w:eastAsia="Times New Roman" w:hAnsi="Times New Roman" w:cs="Times New Roman"/>
          <w:sz w:val="24"/>
          <w:szCs w:val="24"/>
        </w:rPr>
        <w:t>accessed 3 January 2023.</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954F72"/>
            <w:sz w:val="24"/>
            <w:szCs w:val="24"/>
            <w:u w:val="single"/>
          </w:rPr>
          <w:t>https://www.ncbi.nlm.nih.gov/pmc/articles/PMC3157145/</w:t>
        </w:r>
      </w:hyperlink>
    </w:p>
    <w:p w14:paraId="00000177"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Mohammad J (April 2015), ‘Inter</w:t>
      </w:r>
      <w:r>
        <w:rPr>
          <w:rFonts w:ascii="Times New Roman" w:eastAsia="Times New Roman" w:hAnsi="Times New Roman" w:cs="Times New Roman"/>
          <w:sz w:val="24"/>
          <w:szCs w:val="24"/>
        </w:rPr>
        <w:t xml:space="preserve">national tourism and economic growth in New Zealand’, </w:t>
      </w:r>
      <w:r>
        <w:rPr>
          <w:rFonts w:ascii="Times New Roman" w:eastAsia="Times New Roman" w:hAnsi="Times New Roman" w:cs="Times New Roman"/>
          <w:i/>
          <w:sz w:val="24"/>
          <w:szCs w:val="24"/>
        </w:rPr>
        <w:t>Economics Discussion Papers</w:t>
      </w:r>
      <w:r>
        <w:rPr>
          <w:rFonts w:ascii="Times New Roman" w:eastAsia="Times New Roman" w:hAnsi="Times New Roman" w:cs="Times New Roman"/>
          <w:sz w:val="24"/>
          <w:szCs w:val="24"/>
        </w:rPr>
        <w:t>, accessed 3 January 2023.</w:t>
      </w:r>
      <w:hyperlink r:id="rId28">
        <w:r>
          <w:rPr>
            <w:rFonts w:ascii="Times New Roman" w:eastAsia="Times New Roman" w:hAnsi="Times New Roman" w:cs="Times New Roman"/>
            <w:color w:val="954F72"/>
            <w:sz w:val="24"/>
            <w:szCs w:val="24"/>
            <w:u w:val="single"/>
          </w:rPr>
          <w:t>https://ourarchive.otago.ac.nz/bitst</w:t>
        </w:r>
        <w:r>
          <w:rPr>
            <w:rFonts w:ascii="Times New Roman" w:eastAsia="Times New Roman" w:hAnsi="Times New Roman" w:cs="Times New Roman"/>
            <w:color w:val="954F72"/>
            <w:sz w:val="24"/>
            <w:szCs w:val="24"/>
            <w:u w:val="single"/>
          </w:rPr>
          <w:t>ream/handle/10523/5603/DP_1502.pdf?sequence=1&amp;isAllowed=y</w:t>
        </w:r>
      </w:hyperlink>
    </w:p>
    <w:p w14:paraId="00000178"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OECD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‘Tourism Trends and Policies 2020 in Brazil’, </w:t>
      </w:r>
      <w:proofErr w:type="spellStart"/>
      <w:r>
        <w:rPr>
          <w:rFonts w:ascii="Times New Roman" w:eastAsia="Times New Roman" w:hAnsi="Times New Roman" w:cs="Times New Roman"/>
          <w:i/>
          <w:sz w:val="24"/>
          <w:szCs w:val="24"/>
        </w:rPr>
        <w:t>iLibrary</w:t>
      </w:r>
      <w:proofErr w:type="spellEnd"/>
      <w:r>
        <w:rPr>
          <w:rFonts w:ascii="Times New Roman" w:eastAsia="Times New Roman" w:hAnsi="Times New Roman" w:cs="Times New Roman"/>
          <w:sz w:val="24"/>
          <w:szCs w:val="24"/>
        </w:rPr>
        <w:t>, accessed 3 January 2023.</w:t>
      </w:r>
      <w:hyperlink r:id="rId29">
        <w:r>
          <w:rPr>
            <w:rFonts w:ascii="Times New Roman" w:eastAsia="Times New Roman" w:hAnsi="Times New Roman" w:cs="Times New Roman"/>
            <w:color w:val="954F72"/>
            <w:sz w:val="24"/>
            <w:szCs w:val="24"/>
            <w:u w:val="single"/>
          </w:rPr>
          <w:t>https://www.oecdilibrary.org/sites/222a322een/index.html?itemId=/content/component/222a322e-en</w:t>
        </w:r>
      </w:hyperlink>
    </w:p>
    <w:p w14:paraId="00000179"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lastRenderedPageBreak/>
        <w:t xml:space="preserve">Santana (1 December 2000), ‘An overview of contemporary tourism development in Brazil’, </w:t>
      </w:r>
      <w:r>
        <w:rPr>
          <w:rFonts w:ascii="Times New Roman" w:eastAsia="Times New Roman" w:hAnsi="Times New Roman" w:cs="Times New Roman"/>
          <w:i/>
          <w:sz w:val="24"/>
          <w:szCs w:val="24"/>
        </w:rPr>
        <w:t xml:space="preserve">International Journal of Contemporary </w:t>
      </w:r>
      <w:proofErr w:type="spellStart"/>
      <w:r>
        <w:rPr>
          <w:rFonts w:ascii="Times New Roman" w:eastAsia="Times New Roman" w:hAnsi="Times New Roman" w:cs="Times New Roman"/>
          <w:i/>
          <w:sz w:val="24"/>
          <w:szCs w:val="24"/>
        </w:rPr>
        <w:t>HospitalityManagement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acce</w:t>
      </w:r>
      <w:r>
        <w:rPr>
          <w:rFonts w:ascii="Times New Roman" w:eastAsia="Times New Roman" w:hAnsi="Times New Roman" w:cs="Times New Roman"/>
          <w:sz w:val="24"/>
          <w:szCs w:val="24"/>
        </w:rPr>
        <w:t>ssed 3 January 2023.</w:t>
      </w:r>
      <w:hyperlink r:id="rId30">
        <w:r>
          <w:rPr>
            <w:rFonts w:ascii="Times New Roman" w:eastAsia="Times New Roman" w:hAnsi="Times New Roman" w:cs="Times New Roman"/>
            <w:color w:val="954F72"/>
            <w:sz w:val="24"/>
            <w:szCs w:val="24"/>
            <w:u w:val="single"/>
          </w:rPr>
          <w:t>https://www.emerald.com/insight/content/doi/10.1108/09596110010347310/full/html</w:t>
        </w:r>
      </w:hyperlink>
    </w:p>
    <w:p w14:paraId="0000017A" w14:textId="77777777" w:rsidR="00BF21AC" w:rsidRDefault="00460E2B">
      <w:pPr>
        <w:spacing w:before="240" w:after="240"/>
        <w:jc w:val="both"/>
        <w:rPr>
          <w:rFonts w:ascii="Times New Roman" w:eastAsia="Times New Roman" w:hAnsi="Times New Roman" w:cs="Times New Roman"/>
          <w:color w:val="954F72"/>
          <w:sz w:val="24"/>
          <w:szCs w:val="24"/>
          <w:u w:val="single"/>
        </w:rPr>
      </w:pPr>
      <w:proofErr w:type="spellStart"/>
      <w:r>
        <w:rPr>
          <w:rFonts w:ascii="Times New Roman" w:eastAsia="Times New Roman" w:hAnsi="Times New Roman" w:cs="Times New Roman"/>
          <w:sz w:val="24"/>
          <w:szCs w:val="24"/>
        </w:rPr>
        <w:t>Simplilearn</w:t>
      </w:r>
      <w:proofErr w:type="spellEnd"/>
      <w:r>
        <w:rPr>
          <w:rFonts w:ascii="Times New Roman" w:eastAsia="Times New Roman" w:hAnsi="Times New Roman" w:cs="Times New Roman"/>
          <w:sz w:val="24"/>
          <w:szCs w:val="24"/>
        </w:rPr>
        <w:t xml:space="preserve"> (2022), ‘</w:t>
      </w:r>
      <w:r>
        <w:rPr>
          <w:rFonts w:ascii="Times New Roman" w:eastAsia="Times New Roman" w:hAnsi="Times New Roman" w:cs="Times New Roman"/>
          <w:i/>
          <w:color w:val="272C37"/>
          <w:sz w:val="24"/>
          <w:szCs w:val="24"/>
        </w:rPr>
        <w:t>What Is Backward Elimination Techniq</w:t>
      </w:r>
      <w:r>
        <w:rPr>
          <w:rFonts w:ascii="Times New Roman" w:eastAsia="Times New Roman" w:hAnsi="Times New Roman" w:cs="Times New Roman"/>
          <w:i/>
          <w:color w:val="272C37"/>
          <w:sz w:val="24"/>
          <w:szCs w:val="24"/>
        </w:rPr>
        <w:t>ue In Machine Learning?</w:t>
      </w:r>
      <w:r>
        <w:rPr>
          <w:rFonts w:ascii="Times New Roman" w:eastAsia="Times New Roman" w:hAnsi="Times New Roman" w:cs="Times New Roman"/>
          <w:color w:val="272C37"/>
          <w:sz w:val="24"/>
          <w:szCs w:val="24"/>
        </w:rPr>
        <w:t xml:space="preserve">’, </w:t>
      </w:r>
      <w:proofErr w:type="spellStart"/>
      <w:r>
        <w:rPr>
          <w:rFonts w:ascii="Times New Roman" w:eastAsia="Times New Roman" w:hAnsi="Times New Roman" w:cs="Times New Roman"/>
          <w:color w:val="272C37"/>
          <w:sz w:val="24"/>
          <w:szCs w:val="24"/>
        </w:rPr>
        <w:t>Simplilearn</w:t>
      </w:r>
      <w:proofErr w:type="spellEnd"/>
      <w:r>
        <w:rPr>
          <w:rFonts w:ascii="Times New Roman" w:eastAsia="Times New Roman" w:hAnsi="Times New Roman" w:cs="Times New Roman"/>
          <w:color w:val="272C37"/>
          <w:sz w:val="24"/>
          <w:szCs w:val="24"/>
        </w:rPr>
        <w:t>, accessed 3 January 2023.</w:t>
      </w:r>
      <w:hyperlink r:id="rId31" w:anchor=":~:text=Backward%20elimination%20is%20a%20statistical,that%20are%20not%20statistically%20significant">
        <w:r>
          <w:rPr>
            <w:rFonts w:ascii="Times New Roman" w:eastAsia="Times New Roman" w:hAnsi="Times New Roman" w:cs="Times New Roman"/>
            <w:color w:val="954F72"/>
            <w:sz w:val="24"/>
            <w:szCs w:val="24"/>
            <w:u w:val="single"/>
          </w:rPr>
          <w:t>https://www.simplilearn.com/what-is-backward-elimination-technique-in-machine-learningarticle#:~:text=Backward%20elimination%20is%20a%20statistical,that%20are%20not%20statistically%20significant</w:t>
        </w:r>
      </w:hyperlink>
    </w:p>
    <w:p w14:paraId="0000017B" w14:textId="77777777" w:rsidR="00BF21AC" w:rsidRDefault="00460E2B">
      <w:pPr>
        <w:spacing w:before="240" w:after="240"/>
        <w:jc w:val="both"/>
        <w:rPr>
          <w:rFonts w:ascii="Times New Roman" w:eastAsia="Times New Roman" w:hAnsi="Times New Roman" w:cs="Times New Roman"/>
          <w:color w:val="954F72"/>
          <w:sz w:val="24"/>
          <w:szCs w:val="24"/>
          <w:u w:val="single"/>
        </w:rPr>
      </w:pPr>
      <w:r>
        <w:rPr>
          <w:rFonts w:ascii="Times New Roman" w:eastAsia="Times New Roman" w:hAnsi="Times New Roman" w:cs="Times New Roman"/>
          <w:sz w:val="24"/>
          <w:szCs w:val="24"/>
        </w:rPr>
        <w:t>STAT Online, ‘9.1 - Linear Relation</w:t>
      </w:r>
      <w:r>
        <w:rPr>
          <w:rFonts w:ascii="Times New Roman" w:eastAsia="Times New Roman" w:hAnsi="Times New Roman" w:cs="Times New Roman"/>
          <w:sz w:val="24"/>
          <w:szCs w:val="24"/>
        </w:rPr>
        <w:t>ships’, 9.1 - Linear Relationships, accessed 3 January 2023.</w:t>
      </w:r>
      <w:hyperlink r:id="rId32" w:anchor=":~:text=If%20the%20slope%20is%20positive,increases%20the%20other%20variable%20decreases">
        <w:r>
          <w:rPr>
            <w:rFonts w:ascii="Times New Roman" w:eastAsia="Times New Roman" w:hAnsi="Times New Roman" w:cs="Times New Roman"/>
            <w:color w:val="954F72"/>
            <w:sz w:val="24"/>
            <w:szCs w:val="24"/>
            <w:u w:val="single"/>
          </w:rPr>
          <w:t>https://online.stat.psu.edu</w:t>
        </w:r>
        <w:r>
          <w:rPr>
            <w:rFonts w:ascii="Times New Roman" w:eastAsia="Times New Roman" w:hAnsi="Times New Roman" w:cs="Times New Roman"/>
            <w:color w:val="954F72"/>
            <w:sz w:val="24"/>
            <w:szCs w:val="24"/>
            <w:u w:val="single"/>
          </w:rPr>
          <w:t>/stat500/book/export/html/587#:~:text=If%20the%20slope%20is%20positive,increases%20the%20other%20variable%20decreases</w:t>
        </w:r>
      </w:hyperlink>
    </w:p>
    <w:p w14:paraId="0000017C"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Statistics Canada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“4.4.3 Calculating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Mode.” </w:t>
      </w:r>
      <w:r>
        <w:rPr>
          <w:rFonts w:ascii="Times New Roman" w:eastAsia="Times New Roman" w:hAnsi="Times New Roman" w:cs="Times New Roman"/>
          <w:i/>
          <w:sz w:val="24"/>
          <w:szCs w:val="24"/>
        </w:rPr>
        <w:t>4.4.3 Calculating The Mode</w:t>
      </w:r>
      <w:r>
        <w:rPr>
          <w:rFonts w:ascii="Times New Roman" w:eastAsia="Times New Roman" w:hAnsi="Times New Roman" w:cs="Times New Roman"/>
          <w:sz w:val="24"/>
          <w:szCs w:val="24"/>
        </w:rPr>
        <w:t>, accessed 3 January 2023.www150.statcan.gc.ca/n1/edu/power-pouvoir/ch11/mode/5214873-eng.htm.</w:t>
      </w:r>
    </w:p>
    <w:p w14:paraId="0000017D" w14:textId="77777777" w:rsidR="00BF21AC" w:rsidRDefault="00460E2B">
      <w:pPr>
        <w:spacing w:before="240" w:after="240"/>
        <w:jc w:val="both"/>
        <w:rPr>
          <w:rFonts w:ascii="Times New Roman" w:eastAsia="Times New Roman" w:hAnsi="Times New Roman" w:cs="Times New Roman"/>
          <w:color w:val="954F72"/>
          <w:sz w:val="24"/>
          <w:szCs w:val="24"/>
          <w:u w:val="single"/>
        </w:rPr>
      </w:pPr>
      <w:proofErr w:type="spellStart"/>
      <w:r>
        <w:rPr>
          <w:rFonts w:ascii="Times New Roman" w:eastAsia="Times New Roman" w:hAnsi="Times New Roman" w:cs="Times New Roman"/>
          <w:sz w:val="24"/>
          <w:szCs w:val="24"/>
        </w:rPr>
        <w:t>Statistique</w:t>
      </w:r>
      <w:proofErr w:type="spellEnd"/>
      <w:r>
        <w:rPr>
          <w:rFonts w:ascii="Times New Roman" w:eastAsia="Times New Roman" w:hAnsi="Times New Roman" w:cs="Times New Roman"/>
          <w:sz w:val="24"/>
          <w:szCs w:val="24"/>
        </w:rPr>
        <w:t xml:space="preserve"> Canada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“5.6. Scatter Plot”, 5.6 Scatter Plot, accessed 3 January 2023.</w:t>
      </w:r>
      <w:hyperlink r:id="rId33">
        <w:r>
          <w:rPr>
            <w:rFonts w:ascii="Times New Roman" w:eastAsia="Times New Roman" w:hAnsi="Times New Roman" w:cs="Times New Roman"/>
            <w:color w:val="954F72"/>
            <w:sz w:val="24"/>
            <w:szCs w:val="24"/>
            <w:u w:val="single"/>
          </w:rPr>
          <w:t>https://www150.statcan.gc.ca/n1/edu/power-pouvoir/ch9/scatter-nuages/5214827-eng.htm</w:t>
        </w:r>
      </w:hyperlink>
    </w:p>
    <w:p w14:paraId="0000017E"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Sustainable development goals</w:t>
      </w:r>
      <w:r>
        <w:rPr>
          <w:rFonts w:ascii="Times New Roman" w:eastAsia="Times New Roman" w:hAnsi="Times New Roman" w:cs="Times New Roman"/>
          <w:sz w:val="24"/>
          <w:szCs w:val="24"/>
        </w:rPr>
        <w:t xml:space="preserve"> (2022), Operation Eyesight, accessed January 8, 2023.</w:t>
      </w:r>
      <w:hyperlink r:id="rId34">
        <w:r>
          <w:rPr>
            <w:rFonts w:ascii="Times New Roman" w:eastAsia="Times New Roman" w:hAnsi="Times New Roman" w:cs="Times New Roman"/>
            <w:color w:val="1155CC"/>
            <w:sz w:val="24"/>
            <w:szCs w:val="24"/>
            <w:u w:val="single"/>
          </w:rPr>
          <w:t>https://operationeyesight.com/sustainable-development-goals/?gclid=CjwKCAiA8OmdBhAgEiwAShr404dDDJpQeNH9vUQQdSl0fIjNVmRHjuQ2iNbgWt_R2Py</w:t>
        </w:r>
        <w:r>
          <w:rPr>
            <w:rFonts w:ascii="Times New Roman" w:eastAsia="Times New Roman" w:hAnsi="Times New Roman" w:cs="Times New Roman"/>
            <w:color w:val="1155CC"/>
            <w:sz w:val="24"/>
            <w:szCs w:val="24"/>
            <w:u w:val="single"/>
          </w:rPr>
          <w:t>FWLceHWhcshoCQ9YQAvD_BwE</w:t>
        </w:r>
      </w:hyperlink>
      <w:r>
        <w:rPr>
          <w:rFonts w:ascii="Times New Roman" w:eastAsia="Times New Roman" w:hAnsi="Times New Roman" w:cs="Times New Roman"/>
          <w:sz w:val="24"/>
          <w:szCs w:val="24"/>
        </w:rPr>
        <w:t xml:space="preserve"> </w:t>
      </w:r>
    </w:p>
    <w:p w14:paraId="0000017F" w14:textId="77777777" w:rsidR="00BF21AC" w:rsidRDefault="00460E2B">
      <w:pPr>
        <w:spacing w:before="240" w:after="24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i/>
          <w:sz w:val="24"/>
          <w:szCs w:val="24"/>
        </w:rPr>
        <w:t>Urban population (% of total population) - Brazil</w:t>
      </w:r>
      <w:r>
        <w:rPr>
          <w:rFonts w:ascii="Times New Roman" w:eastAsia="Times New Roman" w:hAnsi="Times New Roman" w:cs="Times New Roman"/>
          <w:sz w:val="24"/>
          <w:szCs w:val="24"/>
        </w:rPr>
        <w:t xml:space="preserve"> (n.d.) </w:t>
      </w:r>
      <w:r>
        <w:rPr>
          <w:rFonts w:ascii="Times New Roman" w:eastAsia="Times New Roman" w:hAnsi="Times New Roman" w:cs="Times New Roman"/>
          <w:i/>
          <w:sz w:val="24"/>
          <w:szCs w:val="24"/>
        </w:rPr>
        <w:t>Data</w:t>
      </w:r>
      <w:r>
        <w:rPr>
          <w:rFonts w:ascii="Times New Roman" w:eastAsia="Times New Roman" w:hAnsi="Times New Roman" w:cs="Times New Roman"/>
          <w:sz w:val="24"/>
          <w:szCs w:val="24"/>
        </w:rPr>
        <w:t>, world bank data, accessed 3 January 2023.</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https://data.worldbank.org/indicator/SP.URB.TOTL.IN.ZS?locations=BR</w:t>
        </w:r>
      </w:hyperlink>
    </w:p>
    <w:p w14:paraId="00000180" w14:textId="77777777" w:rsidR="00BF21AC" w:rsidRDefault="00460E2B">
      <w:pPr>
        <w:pStyle w:val="Heading1"/>
        <w:keepNext w:val="0"/>
        <w:keepLines w:val="0"/>
        <w:spacing w:before="480" w:after="240"/>
        <w:jc w:val="both"/>
        <w:rPr>
          <w:rFonts w:ascii="Times New Roman" w:eastAsia="Times New Roman" w:hAnsi="Times New Roman" w:cs="Times New Roman"/>
          <w:color w:val="1155CC"/>
          <w:sz w:val="24"/>
          <w:szCs w:val="24"/>
          <w:u w:val="single"/>
        </w:rPr>
      </w:pPr>
      <w:bookmarkStart w:id="24" w:name="_xcfjc5msumay" w:colFirst="0" w:colLast="0"/>
      <w:bookmarkEnd w:id="24"/>
      <w:r>
        <w:rPr>
          <w:rFonts w:ascii="Times New Roman" w:eastAsia="Times New Roman" w:hAnsi="Times New Roman" w:cs="Times New Roman"/>
          <w:sz w:val="24"/>
          <w:szCs w:val="24"/>
        </w:rPr>
        <w:t xml:space="preserve">Zahoor A, </w:t>
      </w:r>
      <w:proofErr w:type="spellStart"/>
      <w:r>
        <w:rPr>
          <w:rFonts w:ascii="Times New Roman" w:eastAsia="Times New Roman" w:hAnsi="Times New Roman" w:cs="Times New Roman"/>
          <w:sz w:val="24"/>
          <w:szCs w:val="24"/>
        </w:rPr>
        <w:t>Zhaohua</w:t>
      </w:r>
      <w:proofErr w:type="spellEnd"/>
      <w:r>
        <w:rPr>
          <w:rFonts w:ascii="Times New Roman" w:eastAsia="Times New Roman" w:hAnsi="Times New Roman" w:cs="Times New Roman"/>
          <w:sz w:val="24"/>
          <w:szCs w:val="24"/>
        </w:rPr>
        <w:t xml:space="preserve"> W &amp; Sajid A (28 May 2019), ‘Investigating the non-linear relationship between urbanization and CO2 emissions: An empirica</w:t>
      </w:r>
      <w:r>
        <w:rPr>
          <w:rFonts w:ascii="Times New Roman" w:eastAsia="Times New Roman" w:hAnsi="Times New Roman" w:cs="Times New Roman"/>
          <w:sz w:val="24"/>
          <w:szCs w:val="24"/>
        </w:rPr>
        <w:t xml:space="preserve">l analysis’, </w:t>
      </w:r>
      <w:r>
        <w:rPr>
          <w:rFonts w:ascii="Times New Roman" w:eastAsia="Times New Roman" w:hAnsi="Times New Roman" w:cs="Times New Roman"/>
          <w:i/>
          <w:sz w:val="24"/>
          <w:szCs w:val="24"/>
        </w:rPr>
        <w:t>Springer</w:t>
      </w:r>
      <w:r>
        <w:rPr>
          <w:rFonts w:ascii="Times New Roman" w:eastAsia="Times New Roman" w:hAnsi="Times New Roman" w:cs="Times New Roman"/>
          <w:sz w:val="24"/>
          <w:szCs w:val="24"/>
        </w:rPr>
        <w:t>, accessed 3 January 2023.</w:t>
      </w:r>
      <w:hyperlink r:id="rId37">
        <w:r>
          <w:rPr>
            <w:rFonts w:ascii="Times New Roman" w:eastAsia="Times New Roman" w:hAnsi="Times New Roman" w:cs="Times New Roman"/>
            <w:color w:val="1155CC"/>
            <w:sz w:val="24"/>
            <w:szCs w:val="24"/>
            <w:u w:val="single"/>
          </w:rPr>
          <w:t>https://link.springer.com/article/10.1007/s11869-019-00711-x</w:t>
        </w:r>
      </w:hyperlink>
    </w:p>
    <w:p w14:paraId="00000181"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New Zealand</w:t>
      </w:r>
      <w:r>
        <w:rPr>
          <w:rFonts w:ascii="Times New Roman" w:eastAsia="Times New Roman" w:hAnsi="Times New Roman" w:cs="Times New Roman"/>
          <w:sz w:val="24"/>
          <w:szCs w:val="24"/>
        </w:rPr>
        <w:t xml:space="preserve"> (2023) </w:t>
      </w:r>
      <w:r>
        <w:rPr>
          <w:rFonts w:ascii="Times New Roman" w:eastAsia="Times New Roman" w:hAnsi="Times New Roman" w:cs="Times New Roman"/>
          <w:i/>
          <w:sz w:val="24"/>
          <w:szCs w:val="24"/>
        </w:rPr>
        <w:t>Wikipedia</w:t>
      </w:r>
      <w:r>
        <w:rPr>
          <w:rFonts w:ascii="Times New Roman" w:eastAsia="Times New Roman" w:hAnsi="Times New Roman" w:cs="Times New Roman"/>
          <w:sz w:val="24"/>
          <w:szCs w:val="24"/>
        </w:rPr>
        <w:t xml:space="preserve">. Wikimedia Foundation. Available at: </w:t>
      </w:r>
      <w:hyperlink r:id="rId38">
        <w:r>
          <w:rPr>
            <w:rFonts w:ascii="Times New Roman" w:eastAsia="Times New Roman" w:hAnsi="Times New Roman" w:cs="Times New Roman"/>
            <w:color w:val="1155CC"/>
            <w:sz w:val="24"/>
            <w:szCs w:val="24"/>
            <w:u w:val="single"/>
          </w:rPr>
          <w:t>https://vi.wikipedia.org/wiki/New_Zealand</w:t>
        </w:r>
      </w:hyperlink>
    </w:p>
    <w:p w14:paraId="00000182" w14:textId="77777777" w:rsidR="00BF21AC" w:rsidRDefault="00BF21AC">
      <w:pPr>
        <w:spacing w:before="240" w:after="240"/>
        <w:jc w:val="both"/>
        <w:rPr>
          <w:rFonts w:ascii="Times New Roman" w:eastAsia="Times New Roman" w:hAnsi="Times New Roman" w:cs="Times New Roman"/>
          <w:sz w:val="24"/>
          <w:szCs w:val="24"/>
        </w:rPr>
      </w:pPr>
    </w:p>
    <w:p w14:paraId="00000183" w14:textId="77777777" w:rsidR="00BF21AC" w:rsidRDefault="00460E2B">
      <w:pPr>
        <w:spacing w:before="240" w:after="240"/>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84" w14:textId="77777777" w:rsidR="00BF21AC" w:rsidRDefault="00BF21AC">
      <w:pPr>
        <w:spacing w:before="240" w:after="240"/>
        <w:ind w:left="560"/>
        <w:jc w:val="both"/>
        <w:rPr>
          <w:rFonts w:ascii="Times New Roman" w:eastAsia="Times New Roman" w:hAnsi="Times New Roman" w:cs="Times New Roman"/>
          <w:sz w:val="24"/>
          <w:szCs w:val="24"/>
        </w:rPr>
      </w:pPr>
    </w:p>
    <w:p w14:paraId="00000185" w14:textId="77777777" w:rsidR="00BF21AC" w:rsidRDefault="00BF21AC">
      <w:pPr>
        <w:spacing w:before="240" w:after="240"/>
        <w:ind w:left="560"/>
        <w:jc w:val="both"/>
        <w:rPr>
          <w:rFonts w:ascii="Times New Roman" w:eastAsia="Times New Roman" w:hAnsi="Times New Roman" w:cs="Times New Roman"/>
          <w:sz w:val="24"/>
          <w:szCs w:val="24"/>
        </w:rPr>
      </w:pPr>
    </w:p>
    <w:p w14:paraId="00000186" w14:textId="77777777" w:rsidR="00BF21AC" w:rsidRDefault="00460E2B">
      <w:pPr>
        <w:spacing w:before="240" w:after="240"/>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87" w14:textId="77777777" w:rsidR="00BF21AC" w:rsidRDefault="00BF21AC">
      <w:pPr>
        <w:spacing w:before="240" w:after="240"/>
        <w:jc w:val="both"/>
        <w:rPr>
          <w:rFonts w:ascii="Times New Roman" w:eastAsia="Times New Roman" w:hAnsi="Times New Roman" w:cs="Times New Roman"/>
          <w:sz w:val="24"/>
          <w:szCs w:val="24"/>
        </w:rPr>
      </w:pPr>
    </w:p>
    <w:p w14:paraId="00000188" w14:textId="77777777" w:rsidR="00BF21AC" w:rsidRDefault="00460E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89" w14:textId="77777777" w:rsidR="00BF21AC" w:rsidRDefault="00BF21AC">
      <w:pPr>
        <w:spacing w:before="240" w:after="240"/>
        <w:jc w:val="both"/>
        <w:rPr>
          <w:rFonts w:ascii="Times New Roman" w:eastAsia="Times New Roman" w:hAnsi="Times New Roman" w:cs="Times New Roman"/>
          <w:sz w:val="24"/>
          <w:szCs w:val="24"/>
        </w:rPr>
      </w:pPr>
    </w:p>
    <w:p w14:paraId="0000018A" w14:textId="77777777" w:rsidR="00BF21AC" w:rsidRDefault="00BF21AC">
      <w:pPr>
        <w:spacing w:before="240" w:after="240"/>
        <w:ind w:left="560"/>
        <w:jc w:val="both"/>
        <w:rPr>
          <w:rFonts w:ascii="Times New Roman" w:eastAsia="Times New Roman" w:hAnsi="Times New Roman" w:cs="Times New Roman"/>
          <w:sz w:val="24"/>
          <w:szCs w:val="24"/>
        </w:rPr>
      </w:pPr>
    </w:p>
    <w:p w14:paraId="0000018B" w14:textId="77777777" w:rsidR="00BF21AC" w:rsidRDefault="00BF21AC">
      <w:pPr>
        <w:spacing w:before="240" w:after="240"/>
        <w:ind w:left="560"/>
        <w:jc w:val="both"/>
        <w:rPr>
          <w:rFonts w:ascii="Times New Roman" w:eastAsia="Times New Roman" w:hAnsi="Times New Roman" w:cs="Times New Roman"/>
          <w:sz w:val="24"/>
          <w:szCs w:val="24"/>
        </w:rPr>
      </w:pPr>
    </w:p>
    <w:p w14:paraId="0000018C" w14:textId="77777777" w:rsidR="00BF21AC" w:rsidRDefault="00BF21AC">
      <w:pPr>
        <w:spacing w:before="240" w:after="240"/>
        <w:jc w:val="both"/>
        <w:rPr>
          <w:rFonts w:ascii="Times New Roman" w:eastAsia="Times New Roman" w:hAnsi="Times New Roman" w:cs="Times New Roman"/>
          <w:sz w:val="24"/>
          <w:szCs w:val="24"/>
        </w:rPr>
      </w:pPr>
    </w:p>
    <w:p w14:paraId="0000018D" w14:textId="77777777" w:rsidR="00BF21AC" w:rsidRDefault="00BF21AC">
      <w:pPr>
        <w:spacing w:before="240" w:after="240"/>
        <w:jc w:val="both"/>
        <w:rPr>
          <w:rFonts w:ascii="Times New Roman" w:eastAsia="Times New Roman" w:hAnsi="Times New Roman" w:cs="Times New Roman"/>
          <w:sz w:val="24"/>
          <w:szCs w:val="24"/>
        </w:rPr>
      </w:pPr>
    </w:p>
    <w:p w14:paraId="0000018E" w14:textId="77777777" w:rsidR="00BF21AC" w:rsidRDefault="00BF21AC">
      <w:pPr>
        <w:spacing w:before="240" w:after="240"/>
        <w:jc w:val="both"/>
        <w:rPr>
          <w:rFonts w:ascii="Times New Roman" w:eastAsia="Times New Roman" w:hAnsi="Times New Roman" w:cs="Times New Roman"/>
          <w:sz w:val="24"/>
          <w:szCs w:val="24"/>
        </w:rPr>
      </w:pPr>
    </w:p>
    <w:p w14:paraId="0000018F" w14:textId="77777777" w:rsidR="00BF21AC" w:rsidRDefault="00BF21AC">
      <w:pPr>
        <w:spacing w:before="240" w:after="240"/>
        <w:jc w:val="both"/>
        <w:rPr>
          <w:rFonts w:ascii="Times New Roman" w:eastAsia="Times New Roman" w:hAnsi="Times New Roman" w:cs="Times New Roman"/>
          <w:sz w:val="24"/>
          <w:szCs w:val="24"/>
        </w:rPr>
      </w:pPr>
    </w:p>
    <w:p w14:paraId="00000190" w14:textId="77777777" w:rsidR="00BF21AC" w:rsidRDefault="00BF21AC">
      <w:pPr>
        <w:spacing w:before="240" w:after="240"/>
        <w:jc w:val="both"/>
        <w:rPr>
          <w:rFonts w:ascii="Times New Roman" w:eastAsia="Times New Roman" w:hAnsi="Times New Roman" w:cs="Times New Roman"/>
          <w:sz w:val="24"/>
          <w:szCs w:val="24"/>
        </w:rPr>
      </w:pPr>
    </w:p>
    <w:p w14:paraId="00000191" w14:textId="77777777" w:rsidR="00BF21AC" w:rsidRDefault="00BF21AC">
      <w:pPr>
        <w:spacing w:before="240" w:after="240"/>
        <w:jc w:val="both"/>
        <w:rPr>
          <w:rFonts w:ascii="Times New Roman" w:eastAsia="Times New Roman" w:hAnsi="Times New Roman" w:cs="Times New Roman"/>
          <w:sz w:val="24"/>
          <w:szCs w:val="24"/>
        </w:rPr>
      </w:pPr>
    </w:p>
    <w:p w14:paraId="00000192" w14:textId="77777777" w:rsidR="00BF21AC" w:rsidRDefault="00BF21AC">
      <w:pPr>
        <w:spacing w:before="240" w:after="240"/>
        <w:jc w:val="both"/>
        <w:rPr>
          <w:rFonts w:ascii="Times New Roman" w:eastAsia="Times New Roman" w:hAnsi="Times New Roman" w:cs="Times New Roman"/>
          <w:sz w:val="24"/>
          <w:szCs w:val="24"/>
        </w:rPr>
      </w:pPr>
    </w:p>
    <w:p w14:paraId="00000193" w14:textId="77777777" w:rsidR="00BF21AC" w:rsidRDefault="00BF21AC">
      <w:pPr>
        <w:spacing w:before="240" w:after="240"/>
        <w:jc w:val="both"/>
        <w:rPr>
          <w:rFonts w:ascii="Times New Roman" w:eastAsia="Times New Roman" w:hAnsi="Times New Roman" w:cs="Times New Roman"/>
          <w:sz w:val="24"/>
          <w:szCs w:val="24"/>
        </w:rPr>
      </w:pPr>
    </w:p>
    <w:p w14:paraId="00000194" w14:textId="77777777" w:rsidR="00BF21AC" w:rsidRDefault="00BF21AC">
      <w:pPr>
        <w:spacing w:before="240" w:after="240"/>
        <w:jc w:val="both"/>
        <w:rPr>
          <w:rFonts w:ascii="Times New Roman" w:eastAsia="Times New Roman" w:hAnsi="Times New Roman" w:cs="Times New Roman"/>
          <w:sz w:val="24"/>
          <w:szCs w:val="24"/>
        </w:rPr>
      </w:pPr>
    </w:p>
    <w:p w14:paraId="00000195" w14:textId="77777777" w:rsidR="00BF21AC" w:rsidRDefault="00BF21AC">
      <w:pPr>
        <w:spacing w:before="240" w:after="240"/>
        <w:jc w:val="both"/>
        <w:rPr>
          <w:rFonts w:ascii="Times New Roman" w:eastAsia="Times New Roman" w:hAnsi="Times New Roman" w:cs="Times New Roman"/>
          <w:sz w:val="24"/>
          <w:szCs w:val="24"/>
        </w:rPr>
      </w:pPr>
    </w:p>
    <w:p w14:paraId="00000196" w14:textId="77777777" w:rsidR="00BF21AC" w:rsidRDefault="00BF21AC">
      <w:pPr>
        <w:spacing w:before="240" w:after="240"/>
        <w:jc w:val="both"/>
        <w:rPr>
          <w:rFonts w:ascii="Times New Roman" w:eastAsia="Times New Roman" w:hAnsi="Times New Roman" w:cs="Times New Roman"/>
          <w:sz w:val="24"/>
          <w:szCs w:val="24"/>
        </w:rPr>
      </w:pPr>
    </w:p>
    <w:p w14:paraId="00000197" w14:textId="77777777" w:rsidR="00BF21AC" w:rsidRDefault="00BF21AC">
      <w:pPr>
        <w:spacing w:before="240" w:after="240"/>
        <w:jc w:val="both"/>
        <w:rPr>
          <w:rFonts w:ascii="Times New Roman" w:eastAsia="Times New Roman" w:hAnsi="Times New Roman" w:cs="Times New Roman"/>
          <w:sz w:val="24"/>
          <w:szCs w:val="24"/>
        </w:rPr>
      </w:pPr>
    </w:p>
    <w:p w14:paraId="00000198" w14:textId="77777777" w:rsidR="00BF21AC" w:rsidRDefault="00BF21AC">
      <w:pPr>
        <w:spacing w:after="560"/>
        <w:jc w:val="both"/>
        <w:rPr>
          <w:rFonts w:ascii="Times New Roman" w:eastAsia="Times New Roman" w:hAnsi="Times New Roman" w:cs="Times New Roman"/>
          <w:color w:val="333333"/>
          <w:sz w:val="24"/>
          <w:szCs w:val="24"/>
        </w:rPr>
      </w:pPr>
    </w:p>
    <w:p w14:paraId="00000199" w14:textId="77777777" w:rsidR="00BF21AC" w:rsidRDefault="00BF21AC">
      <w:pPr>
        <w:jc w:val="both"/>
        <w:rPr>
          <w:rFonts w:ascii="Times New Roman" w:eastAsia="Times New Roman" w:hAnsi="Times New Roman" w:cs="Times New Roman"/>
          <w:sz w:val="24"/>
          <w:szCs w:val="24"/>
        </w:rPr>
      </w:pPr>
    </w:p>
    <w:sectPr w:rsidR="00BF21A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896"/>
    <w:multiLevelType w:val="multilevel"/>
    <w:tmpl w:val="58FC0D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6103E05"/>
    <w:multiLevelType w:val="multilevel"/>
    <w:tmpl w:val="084E19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07799D"/>
    <w:multiLevelType w:val="multilevel"/>
    <w:tmpl w:val="7CAE8C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1BC57809"/>
    <w:multiLevelType w:val="multilevel"/>
    <w:tmpl w:val="7BCCDB8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C72E65"/>
    <w:multiLevelType w:val="multilevel"/>
    <w:tmpl w:val="1D2A15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9695BF9"/>
    <w:multiLevelType w:val="multilevel"/>
    <w:tmpl w:val="4220247C"/>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C27118"/>
    <w:multiLevelType w:val="multilevel"/>
    <w:tmpl w:val="D8C0BF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
  </w:num>
  <w:num w:numId="2">
    <w:abstractNumId w:val="0"/>
  </w:num>
  <w:num w:numId="3">
    <w:abstractNumId w:val="1"/>
  </w:num>
  <w:num w:numId="4">
    <w:abstractNumId w:val="6"/>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1AC"/>
    <w:rsid w:val="00460E2B"/>
    <w:rsid w:val="00BF2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C7ED"/>
  <w15:docId w15:val="{BB03B79D-1619-4DD7-A847-EC273367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ncbi.nlm.nih.gov/pmc/articles/PMC3157145/" TargetMode="External"/><Relationship Id="rId39" Type="http://schemas.openxmlformats.org/officeDocument/2006/relationships/fontTable" Target="fontTable.xml"/><Relationship Id="rId21" Type="http://schemas.openxmlformats.org/officeDocument/2006/relationships/hyperlink" Target="https://www.mbie.govt.nz/dmsdocument/6974-the-tourism-new-zealand-report" TargetMode="External"/><Relationship Id="rId34" Type="http://schemas.openxmlformats.org/officeDocument/2006/relationships/hyperlink" Target="https://operationeyesight.com/sustainable-development-goals/?gclid=CjwKCAiA8OmdBhAgEiwAShr404dDDJpQeNH9vUQQdSl0fIjNVmRHjuQ2iNbgWt_R2PyFWLceHWhcshoCQ9YQAvD_Bw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ciencedirect.com/science/article/abs/pii/S0261517702000468" TargetMode="External"/><Relationship Id="rId33" Type="http://schemas.openxmlformats.org/officeDocument/2006/relationships/hyperlink" Target="https://www150.statcan.gc.ca/n1/edu/power-pouvoir/ch9/scatter-nuages/5214827-eng.htm" TargetMode="External"/><Relationship Id="rId38" Type="http://schemas.openxmlformats.org/officeDocument/2006/relationships/hyperlink" Target="https://vi.wikipedia.org/wiki/New_Zealan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andfonline.com/doi/full/10.1080/10941665.2018.1557717?casa_token=h-c2vh34lFQAAAAA%3ARgs8ocaDGB4Vs7Iu_xDlGd7ad6wKxNihiuiu1dy8-mgF8XcokY2B7JU5BR69JPdrFy8qRhv7qj3x41A" TargetMode="External"/><Relationship Id="rId29" Type="http://schemas.openxmlformats.org/officeDocument/2006/relationships/hyperlink" Target="https://www.oecdilibrary.org/sites/222a322een/index.html?itemId=/content/component/222a322e-e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ciencedirect.com/science/article/pii/S0140988318304936?casa_token=Gu7hI--mP10AAAAA:Odz1bj0Ujy2kQYDVdi8GUcxW0nBMbHzky-k8CnRiQYQf6wkU3XoTE-0090jZWKnxdTwFY2oL_Dzl" TargetMode="External"/><Relationship Id="rId32" Type="http://schemas.openxmlformats.org/officeDocument/2006/relationships/hyperlink" Target="https://online.stat.psu.edu/stat500/book/export/html/587" TargetMode="External"/><Relationship Id="rId37" Type="http://schemas.openxmlformats.org/officeDocument/2006/relationships/hyperlink" Target="https://link.springer.com/article/10.1007/s11869-019-00711-x"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backward-elimination-in-machine-learning" TargetMode="External"/><Relationship Id="rId28" Type="http://schemas.openxmlformats.org/officeDocument/2006/relationships/hyperlink" Target="https://ourarchive.otago.ac.nz/bitstream/handle/10523/5603/DP_1502.pdf?sequence=1&amp;isAllowed=y" TargetMode="External"/><Relationship Id="rId36" Type="http://schemas.openxmlformats.org/officeDocument/2006/relationships/hyperlink" Target="https://data.worldbank.org/indicator/SP.URB.TOTL.IN.ZS?locations=BR" TargetMode="External"/><Relationship Id="rId10" Type="http://schemas.openxmlformats.org/officeDocument/2006/relationships/image" Target="media/image6.png"/><Relationship Id="rId19" Type="http://schemas.openxmlformats.org/officeDocument/2006/relationships/hyperlink" Target="https://www.sciencedirect.com/science/article/abs/pii/S2212571X19301453" TargetMode="External"/><Relationship Id="rId31" Type="http://schemas.openxmlformats.org/officeDocument/2006/relationships/hyperlink" Target="https://www.simplilearn.com/what-is-backward-elimination-technique-in-machine-learningartic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tisticsbyjim.com/basics/variability-range-interquartile-variance-standard-deviation/" TargetMode="External"/><Relationship Id="rId27" Type="http://schemas.openxmlformats.org/officeDocument/2006/relationships/hyperlink" Target="https://www.ncbi.nlm.nih.gov/pmc/articles/PMC3157145/" TargetMode="External"/><Relationship Id="rId30" Type="http://schemas.openxmlformats.org/officeDocument/2006/relationships/hyperlink" Target="https://www.emerald.com/insight/content/doi/10.1108/09596110010347310/full/html" TargetMode="External"/><Relationship Id="rId35" Type="http://schemas.openxmlformats.org/officeDocument/2006/relationships/hyperlink" Target="https://data.worldbank.org/indicator/SP.URB.TOTL.IN.ZS?locations=BR"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4334</Words>
  <Characters>24710</Characters>
  <Application>Microsoft Office Word</Application>
  <DocSecurity>0</DocSecurity>
  <Lines>205</Lines>
  <Paragraphs>57</Paragraphs>
  <ScaleCrop>false</ScaleCrop>
  <Company/>
  <LinksUpToDate>false</LinksUpToDate>
  <CharactersWithSpaces>28987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2023-01-08T18:36:00Z</dcterms:created>
  <dcterms:modified xsi:type="dcterms:W3CDTF">2023-01-08T18:37:00Z</dcterms:modified>
</cp:coreProperties>
</file>